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80B" w:rsidRDefault="00B0480B" w:rsidP="00B0480B">
      <w:pPr>
        <w:kinsoku w:val="0"/>
        <w:overflowPunct w:val="0"/>
        <w:spacing w:line="359" w:lineRule="exact"/>
        <w:ind w:left="106" w:right="260" w:firstLine="106"/>
        <w:jc w:val="center"/>
        <w:textAlignment w:val="baseline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5E73ACE7" wp14:editId="16BCF808">
                <wp:simplePos x="0" y="0"/>
                <wp:positionH relativeFrom="page">
                  <wp:posOffset>631190</wp:posOffset>
                </wp:positionH>
                <wp:positionV relativeFrom="page">
                  <wp:posOffset>3009900</wp:posOffset>
                </wp:positionV>
                <wp:extent cx="6303010" cy="2016125"/>
                <wp:effectExtent l="12065" t="9525" r="9525" b="1270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3010" cy="2016125"/>
                        </a:xfrm>
                        <a:prstGeom prst="rect">
                          <a:avLst/>
                        </a:prstGeom>
                        <a:solidFill>
                          <a:srgbClr val="FF6500"/>
                        </a:solidFill>
                        <a:ln w="889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480B" w:rsidRDefault="00B0480B" w:rsidP="00B0480B"/>
                        </w:txbxContent>
                      </wps:txbx>
                      <wps:bodyPr rot="0" vert="horz" wrap="square" lIns="36576" tIns="0" rIns="36576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73AC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9.7pt;margin-top:237pt;width:496.3pt;height:158.7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" o:allowincell="f" fillcolor="#ff6500" strokeweight=".7pt">
                <v:textbox inset="2.88pt,0,2.88pt,0">
                  <w:txbxContent>
                    <w:p w:rsidR="00B0480B" w:rsidRDefault="00B0480B" w:rsidP="00B0480B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ahoma" w:hAnsi="Tahoma" w:cs="Tahoma"/>
          <w:b/>
          <w:bCs/>
          <w:color w:val="000000"/>
          <w:sz w:val="28"/>
          <w:szCs w:val="28"/>
        </w:rPr>
        <w:t>COMUNE DI ANTEY</w:t>
      </w:r>
      <w:r w:rsidR="004B7B6C">
        <w:rPr>
          <w:rFonts w:ascii="Tahoma" w:hAnsi="Tahoma" w:cs="Tahoma"/>
          <w:b/>
          <w:bCs/>
          <w:color w:val="000000"/>
          <w:sz w:val="28"/>
          <w:szCs w:val="28"/>
        </w:rPr>
        <w:t>-SAINT-</w:t>
      </w:r>
      <w:r>
        <w:rPr>
          <w:rFonts w:ascii="Tahoma" w:hAnsi="Tahoma" w:cs="Tahoma"/>
          <w:b/>
          <w:bCs/>
          <w:color w:val="000000"/>
          <w:sz w:val="28"/>
          <w:szCs w:val="28"/>
        </w:rPr>
        <w:t>ANDRE</w:t>
      </w:r>
    </w:p>
    <w:p w:rsidR="00B0480B" w:rsidRDefault="00B0480B" w:rsidP="00B0480B">
      <w:pPr>
        <w:kinsoku w:val="0"/>
        <w:overflowPunct w:val="0"/>
        <w:spacing w:line="359" w:lineRule="exact"/>
        <w:ind w:left="106" w:right="260" w:firstLine="106"/>
        <w:jc w:val="center"/>
        <w:textAlignment w:val="baseline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B0480B" w:rsidRDefault="00B0480B" w:rsidP="00B0480B">
      <w:pPr>
        <w:kinsoku w:val="0"/>
        <w:overflowPunct w:val="0"/>
        <w:spacing w:line="359" w:lineRule="exact"/>
        <w:ind w:left="106" w:right="260" w:firstLine="106"/>
        <w:jc w:val="center"/>
        <w:textAlignment w:val="baseline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***</w:t>
      </w:r>
    </w:p>
    <w:p w:rsidR="00B0480B" w:rsidRDefault="00B0480B" w:rsidP="00B0480B">
      <w:pPr>
        <w:kinsoku w:val="0"/>
        <w:overflowPunct w:val="0"/>
        <w:spacing w:line="359" w:lineRule="exact"/>
        <w:ind w:left="106" w:right="260" w:firstLine="106"/>
        <w:jc w:val="both"/>
        <w:textAlignment w:val="baseline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B0480B" w:rsidRDefault="00B0480B" w:rsidP="00B0480B">
      <w:pPr>
        <w:kinsoku w:val="0"/>
        <w:overflowPunct w:val="0"/>
        <w:spacing w:line="359" w:lineRule="exact"/>
        <w:ind w:left="106" w:right="260" w:firstLine="106"/>
        <w:jc w:val="both"/>
        <w:textAlignment w:val="baseline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NOTA INTEGRATIV</w:t>
      </w:r>
      <w:r w:rsidR="004B7B6C">
        <w:rPr>
          <w:rFonts w:ascii="Tahoma" w:hAnsi="Tahoma" w:cs="Tahoma"/>
          <w:b/>
          <w:bCs/>
          <w:color w:val="000000"/>
          <w:sz w:val="28"/>
          <w:szCs w:val="28"/>
        </w:rPr>
        <w:t>A AL BILANCIO DI PREVISIONE 2019</w:t>
      </w:r>
      <w:r>
        <w:rPr>
          <w:rFonts w:ascii="Tahoma" w:hAnsi="Tahoma" w:cs="Tahoma"/>
          <w:b/>
          <w:bCs/>
          <w:color w:val="000000"/>
          <w:sz w:val="28"/>
          <w:szCs w:val="28"/>
        </w:rPr>
        <w:t>-20</w:t>
      </w:r>
      <w:r w:rsidR="00A6182A">
        <w:rPr>
          <w:rFonts w:ascii="Tahoma" w:hAnsi="Tahoma" w:cs="Tahoma"/>
          <w:b/>
          <w:bCs/>
          <w:color w:val="000000"/>
          <w:sz w:val="28"/>
          <w:szCs w:val="28"/>
        </w:rPr>
        <w:t>2</w:t>
      </w:r>
      <w:r w:rsidR="004B7B6C">
        <w:rPr>
          <w:rFonts w:ascii="Tahoma" w:hAnsi="Tahoma" w:cs="Tahoma"/>
          <w:b/>
          <w:bCs/>
          <w:color w:val="000000"/>
          <w:sz w:val="28"/>
          <w:szCs w:val="28"/>
        </w:rPr>
        <w:t>1</w:t>
      </w:r>
    </w:p>
    <w:p w:rsidR="00B0480B" w:rsidRDefault="00B0480B" w:rsidP="00B0480B">
      <w:pPr>
        <w:jc w:val="both"/>
        <w:rPr>
          <w:sz w:val="24"/>
          <w:szCs w:val="24"/>
        </w:rPr>
      </w:pPr>
    </w:p>
    <w:p w:rsidR="00B0480B" w:rsidRDefault="00EF17A5" w:rsidP="00B0480B">
      <w:pPr>
        <w:jc w:val="both"/>
        <w:rPr>
          <w:sz w:val="24"/>
          <w:szCs w:val="24"/>
        </w:rPr>
        <w:sectPr w:rsidR="00B0480B">
          <w:pgSz w:w="11904" w:h="16843"/>
          <w:pgMar w:top="4740" w:right="830" w:bottom="547" w:left="994" w:header="720" w:footer="720" w:gutter="0"/>
          <w:cols w:space="720"/>
          <w:noEndnote/>
        </w:sectPr>
      </w:pP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2079508</wp:posOffset>
            </wp:positionH>
            <wp:positionV relativeFrom="paragraph">
              <wp:posOffset>661017</wp:posOffset>
            </wp:positionV>
            <wp:extent cx="2189409" cy="2868126"/>
            <wp:effectExtent l="0" t="0" r="1905" b="889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ntey piccolo 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9409" cy="28681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31FB9" w:rsidRDefault="00D31FB9" w:rsidP="00D31FB9">
      <w:pPr>
        <w:kinsoku w:val="0"/>
        <w:overflowPunct w:val="0"/>
        <w:spacing w:before="7" w:after="441" w:line="359" w:lineRule="exact"/>
        <w:jc w:val="both"/>
        <w:textAlignment w:val="baseline"/>
        <w:rPr>
          <w:rFonts w:ascii="Tahoma" w:hAnsi="Tahoma" w:cs="Tahoma"/>
          <w:b/>
          <w:bCs/>
          <w:spacing w:val="-4"/>
          <w:sz w:val="28"/>
          <w:szCs w:val="28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251659264" behindDoc="0" locked="0" layoutInCell="0" allowOverlap="1" wp14:anchorId="5CC6EACB" wp14:editId="562A6255">
                <wp:simplePos x="0" y="0"/>
                <wp:positionH relativeFrom="page">
                  <wp:posOffset>6727825</wp:posOffset>
                </wp:positionH>
                <wp:positionV relativeFrom="page">
                  <wp:posOffset>9916795</wp:posOffset>
                </wp:positionV>
                <wp:extent cx="184150" cy="170180"/>
                <wp:effectExtent l="3175" t="1270" r="3175" b="0"/>
                <wp:wrapSquare wrapText="bothSides"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" cy="1701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1FB9" w:rsidRDefault="00D31FB9" w:rsidP="00D31FB9">
                            <w:pPr>
                              <w:kinsoku w:val="0"/>
                              <w:overflowPunct w:val="0"/>
                              <w:spacing w:before="26" w:line="240" w:lineRule="exact"/>
                              <w:textAlignment w:val="baseline"/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6EACB" id="Text Box 4" o:spid="_x0000_s1027" type="#_x0000_t202" style="position:absolute;left:0;text-align:left;margin-left:529.75pt;margin-top:780.85pt;width:14.5pt;height:13.4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" o:allowincell="f" stroked="f">
                <v:fill opacity="0"/>
                <v:textbox inset="0,0,0,0">
                  <w:txbxContent>
                    <w:p w:rsidR="00D31FB9" w:rsidRDefault="00D31FB9" w:rsidP="00D31FB9">
                      <w:pPr>
                        <w:kinsoku w:val="0"/>
                        <w:overflowPunct w:val="0"/>
                        <w:spacing w:before="26" w:line="240" w:lineRule="exact"/>
                        <w:textAlignment w:val="baseline"/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Tahoma" w:hAnsi="Tahoma" w:cs="Tahoma"/>
          <w:b/>
          <w:bCs/>
          <w:spacing w:val="-4"/>
          <w:sz w:val="28"/>
          <w:szCs w:val="28"/>
        </w:rPr>
        <w:t>Premessa</w:t>
      </w:r>
    </w:p>
    <w:p w:rsidR="00D31FB9" w:rsidRDefault="00D31FB9" w:rsidP="00D31FB9">
      <w:pPr>
        <w:pBdr>
          <w:top w:val="single" w:sz="4" w:space="0" w:color="000000"/>
          <w:left w:val="single" w:sz="4" w:space="10" w:color="000000"/>
          <w:bottom w:val="single" w:sz="4" w:space="5" w:color="000000"/>
          <w:right w:val="single" w:sz="4" w:space="0" w:color="000000"/>
        </w:pBdr>
        <w:shd w:val="solid" w:color="FF6500" w:fill="auto"/>
        <w:kinsoku w:val="0"/>
        <w:overflowPunct w:val="0"/>
        <w:spacing w:line="264" w:lineRule="exact"/>
        <w:ind w:left="216" w:right="2792"/>
        <w:jc w:val="both"/>
        <w:textAlignment w:val="baseline"/>
        <w:rPr>
          <w:rFonts w:ascii="Tahoma" w:hAnsi="Tahoma" w:cs="Tahoma"/>
          <w:b/>
          <w:bCs/>
          <w:color w:val="000000"/>
          <w:spacing w:val="1"/>
        </w:rPr>
      </w:pPr>
      <w:r>
        <w:rPr>
          <w:rFonts w:ascii="Tahoma" w:hAnsi="Tahoma" w:cs="Tahoma"/>
          <w:b/>
          <w:bCs/>
          <w:color w:val="000000"/>
          <w:spacing w:val="1"/>
        </w:rPr>
        <w:t>Tempi e modalità di</w:t>
      </w:r>
      <w:r w:rsidR="00A6182A">
        <w:rPr>
          <w:rFonts w:ascii="Tahoma" w:hAnsi="Tahoma" w:cs="Tahoma"/>
          <w:b/>
          <w:bCs/>
          <w:color w:val="000000"/>
          <w:spacing w:val="1"/>
        </w:rPr>
        <w:t xml:space="preserve"> approvazione del bilancio 2018 - 2020</w:t>
      </w:r>
    </w:p>
    <w:p w:rsidR="00D31FB9" w:rsidRPr="00A5196C" w:rsidRDefault="00D31FB9" w:rsidP="00D31FB9">
      <w:pPr>
        <w:kinsoku w:val="0"/>
        <w:overflowPunct w:val="0"/>
        <w:spacing w:before="493" w:line="399" w:lineRule="exact"/>
        <w:ind w:left="216" w:right="144"/>
        <w:jc w:val="both"/>
        <w:textAlignment w:val="baseline"/>
        <w:rPr>
          <w:rFonts w:ascii="Tahoma" w:hAnsi="Tahoma" w:cs="Tahoma"/>
          <w:bCs/>
        </w:rPr>
      </w:pPr>
      <w:r w:rsidRPr="00A5196C">
        <w:rPr>
          <w:rFonts w:ascii="Tahoma" w:hAnsi="Tahoma" w:cs="Tahoma"/>
          <w:bCs/>
        </w:rPr>
        <w:t>L’Amministrazione comunale, per gestire al meglio le attività programmate, ha deciso di approvar</w:t>
      </w:r>
      <w:r w:rsidR="00F575BF">
        <w:rPr>
          <w:rFonts w:ascii="Tahoma" w:hAnsi="Tahoma" w:cs="Tahoma"/>
          <w:bCs/>
        </w:rPr>
        <w:t>e il bilancio di previsione 2019</w:t>
      </w:r>
      <w:r w:rsidRPr="00A5196C">
        <w:rPr>
          <w:rFonts w:ascii="Tahoma" w:hAnsi="Tahoma" w:cs="Tahoma"/>
          <w:bCs/>
        </w:rPr>
        <w:t xml:space="preserve"> - 20</w:t>
      </w:r>
      <w:r>
        <w:rPr>
          <w:rFonts w:ascii="Tahoma" w:hAnsi="Tahoma" w:cs="Tahoma"/>
          <w:bCs/>
        </w:rPr>
        <w:t>2</w:t>
      </w:r>
      <w:r w:rsidR="00F575BF">
        <w:rPr>
          <w:rFonts w:ascii="Tahoma" w:hAnsi="Tahoma" w:cs="Tahoma"/>
          <w:bCs/>
        </w:rPr>
        <w:t>1</w:t>
      </w:r>
      <w:r w:rsidRPr="00A5196C">
        <w:rPr>
          <w:rFonts w:ascii="Tahoma" w:hAnsi="Tahoma" w:cs="Tahoma"/>
          <w:bCs/>
        </w:rPr>
        <w:t xml:space="preserve"> entro la fine </w:t>
      </w:r>
      <w:r>
        <w:rPr>
          <w:rFonts w:ascii="Tahoma" w:hAnsi="Tahoma" w:cs="Tahoma"/>
          <w:bCs/>
        </w:rPr>
        <w:t>del mese di marzo</w:t>
      </w:r>
      <w:r w:rsidRPr="00A5196C">
        <w:rPr>
          <w:rFonts w:ascii="Tahoma" w:hAnsi="Tahoma" w:cs="Tahoma"/>
          <w:bCs/>
        </w:rPr>
        <w:t xml:space="preserve"> 201</w:t>
      </w:r>
      <w:r w:rsidR="00F575BF">
        <w:rPr>
          <w:rFonts w:ascii="Tahoma" w:hAnsi="Tahoma" w:cs="Tahoma"/>
          <w:bCs/>
        </w:rPr>
        <w:t>9</w:t>
      </w:r>
      <w:r w:rsidRPr="00A5196C">
        <w:rPr>
          <w:rFonts w:ascii="Tahoma" w:hAnsi="Tahoma" w:cs="Tahoma"/>
          <w:bCs/>
        </w:rPr>
        <w:t>.</w:t>
      </w:r>
    </w:p>
    <w:p w:rsidR="00D31FB9" w:rsidRPr="00A5196C" w:rsidRDefault="00D31FB9" w:rsidP="00D31FB9">
      <w:pPr>
        <w:kinsoku w:val="0"/>
        <w:overflowPunct w:val="0"/>
        <w:spacing w:before="193" w:line="403" w:lineRule="exact"/>
        <w:ind w:left="216" w:right="144"/>
        <w:jc w:val="both"/>
        <w:textAlignment w:val="baseline"/>
        <w:rPr>
          <w:rFonts w:ascii="Tahoma" w:hAnsi="Tahoma" w:cs="Tahoma"/>
          <w:bCs/>
          <w:spacing w:val="-3"/>
        </w:rPr>
      </w:pPr>
      <w:r w:rsidRPr="00A5196C">
        <w:rPr>
          <w:rFonts w:ascii="Tahoma" w:hAnsi="Tahoma" w:cs="Tahoma"/>
          <w:bCs/>
          <w:spacing w:val="-3"/>
        </w:rPr>
        <w:t xml:space="preserve">L’approvazione del bilancio di previsione </w:t>
      </w:r>
      <w:r w:rsidR="00F575BF">
        <w:rPr>
          <w:rFonts w:ascii="Tahoma" w:hAnsi="Tahoma" w:cs="Tahoma"/>
          <w:bCs/>
        </w:rPr>
        <w:t>2019</w:t>
      </w:r>
      <w:r w:rsidR="00F575BF" w:rsidRPr="00A5196C">
        <w:rPr>
          <w:rFonts w:ascii="Tahoma" w:hAnsi="Tahoma" w:cs="Tahoma"/>
          <w:bCs/>
        </w:rPr>
        <w:t xml:space="preserve"> - 20</w:t>
      </w:r>
      <w:r w:rsidR="00F575BF">
        <w:rPr>
          <w:rFonts w:ascii="Tahoma" w:hAnsi="Tahoma" w:cs="Tahoma"/>
          <w:bCs/>
        </w:rPr>
        <w:t>21</w:t>
      </w:r>
      <w:r w:rsidR="00F575BF" w:rsidRPr="00A5196C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  <w:spacing w:val="-3"/>
        </w:rPr>
        <w:t>nel</w:t>
      </w:r>
      <w:r w:rsidRPr="00A5196C">
        <w:rPr>
          <w:rFonts w:ascii="Tahoma" w:hAnsi="Tahoma" w:cs="Tahoma"/>
          <w:bCs/>
          <w:spacing w:val="-3"/>
        </w:rPr>
        <w:t xml:space="preserve"> rispetto </w:t>
      </w:r>
      <w:r>
        <w:rPr>
          <w:rFonts w:ascii="Tahoma" w:hAnsi="Tahoma" w:cs="Tahoma"/>
          <w:bCs/>
          <w:spacing w:val="-3"/>
        </w:rPr>
        <w:t>dei</w:t>
      </w:r>
      <w:r w:rsidRPr="00A5196C">
        <w:rPr>
          <w:rFonts w:ascii="Tahoma" w:hAnsi="Tahoma" w:cs="Tahoma"/>
          <w:bCs/>
          <w:spacing w:val="-3"/>
        </w:rPr>
        <w:t xml:space="preserve"> termini di legge permetterà di rispettare le scadenze senza dover affrontare le difficoltà e i ritardi di una gestione </w:t>
      </w:r>
      <w:r>
        <w:rPr>
          <w:rFonts w:ascii="Tahoma" w:hAnsi="Tahoma" w:cs="Tahoma"/>
          <w:bCs/>
          <w:spacing w:val="-3"/>
        </w:rPr>
        <w:t>provvisoria.</w:t>
      </w:r>
    </w:p>
    <w:p w:rsidR="00D31FB9" w:rsidRPr="00A5196C" w:rsidRDefault="00D31FB9" w:rsidP="00D31FB9">
      <w:pPr>
        <w:kinsoku w:val="0"/>
        <w:overflowPunct w:val="0"/>
        <w:spacing w:before="198" w:line="398" w:lineRule="exact"/>
        <w:ind w:left="216" w:right="144"/>
        <w:jc w:val="both"/>
        <w:textAlignment w:val="baseline"/>
        <w:rPr>
          <w:rFonts w:ascii="Tahoma" w:hAnsi="Tahoma" w:cs="Tahoma"/>
          <w:bCs/>
        </w:rPr>
      </w:pPr>
      <w:r w:rsidRPr="00A5196C">
        <w:rPr>
          <w:rFonts w:ascii="Tahoma" w:hAnsi="Tahoma" w:cs="Tahoma"/>
          <w:bCs/>
        </w:rPr>
        <w:t xml:space="preserve">L’Amministrazione ha definito le previsioni di bilancio attenendosi alla normativa vigente, </w:t>
      </w:r>
      <w:r>
        <w:rPr>
          <w:rFonts w:ascii="Tahoma" w:hAnsi="Tahoma" w:cs="Tahoma"/>
          <w:bCs/>
        </w:rPr>
        <w:t xml:space="preserve">variando </w:t>
      </w:r>
      <w:r w:rsidRPr="00A5196C">
        <w:rPr>
          <w:rFonts w:ascii="Tahoma" w:hAnsi="Tahoma" w:cs="Tahoma"/>
          <w:bCs/>
        </w:rPr>
        <w:t xml:space="preserve">le aliquote dei tributi e le tariffe dei servizi e adottando un criterio storico di allocazione delle risorse, avendo come base </w:t>
      </w:r>
      <w:r>
        <w:rPr>
          <w:rFonts w:ascii="Tahoma" w:hAnsi="Tahoma" w:cs="Tahoma"/>
          <w:bCs/>
        </w:rPr>
        <w:t>le previsioni assestate del 2017</w:t>
      </w:r>
      <w:r w:rsidRPr="00A5196C">
        <w:rPr>
          <w:rFonts w:ascii="Tahoma" w:hAnsi="Tahoma" w:cs="Tahoma"/>
          <w:bCs/>
        </w:rPr>
        <w:t>.</w:t>
      </w:r>
    </w:p>
    <w:p w:rsidR="00D31FB9" w:rsidRPr="00A5196C" w:rsidRDefault="00D31FB9" w:rsidP="00D31FB9">
      <w:pPr>
        <w:kinsoku w:val="0"/>
        <w:overflowPunct w:val="0"/>
        <w:spacing w:before="202" w:line="398" w:lineRule="exact"/>
        <w:ind w:left="216" w:right="144"/>
        <w:jc w:val="both"/>
        <w:textAlignment w:val="baseline"/>
        <w:rPr>
          <w:rFonts w:ascii="Tahoma" w:hAnsi="Tahoma" w:cs="Tahoma"/>
          <w:bCs/>
        </w:rPr>
      </w:pPr>
      <w:r w:rsidRPr="00A5196C">
        <w:rPr>
          <w:rFonts w:ascii="Tahoma" w:hAnsi="Tahoma" w:cs="Tahoma"/>
          <w:bCs/>
        </w:rPr>
        <w:t>Per la programmazione relativa al pareggio di bilancio ci si è attenuti alle regole previste dalla normativa in vigore.</w:t>
      </w:r>
    </w:p>
    <w:p w:rsidR="00D31FB9" w:rsidRPr="00A5196C" w:rsidRDefault="00D31FB9" w:rsidP="00D31FB9">
      <w:pPr>
        <w:kinsoku w:val="0"/>
        <w:overflowPunct w:val="0"/>
        <w:spacing w:before="193" w:line="403" w:lineRule="exact"/>
        <w:ind w:left="216" w:right="144"/>
        <w:jc w:val="both"/>
        <w:textAlignment w:val="baseline"/>
        <w:rPr>
          <w:rFonts w:ascii="Tahoma" w:hAnsi="Tahoma" w:cs="Tahoma"/>
          <w:bCs/>
        </w:rPr>
      </w:pPr>
      <w:r w:rsidRPr="00A5196C">
        <w:rPr>
          <w:rFonts w:ascii="Tahoma" w:hAnsi="Tahoma" w:cs="Tahoma"/>
          <w:bCs/>
        </w:rPr>
        <w:t xml:space="preserve">La presente nota integrativa si propone di descrivere gli elementi più significativi dello schema di bilancio di previsione </w:t>
      </w:r>
      <w:r w:rsidR="00F575BF">
        <w:rPr>
          <w:rFonts w:ascii="Tahoma" w:hAnsi="Tahoma" w:cs="Tahoma"/>
          <w:bCs/>
        </w:rPr>
        <w:t>2019</w:t>
      </w:r>
      <w:r w:rsidR="00F575BF" w:rsidRPr="00A5196C">
        <w:rPr>
          <w:rFonts w:ascii="Tahoma" w:hAnsi="Tahoma" w:cs="Tahoma"/>
          <w:bCs/>
        </w:rPr>
        <w:t xml:space="preserve"> - 20</w:t>
      </w:r>
      <w:r w:rsidR="00F575BF">
        <w:rPr>
          <w:rFonts w:ascii="Tahoma" w:hAnsi="Tahoma" w:cs="Tahoma"/>
          <w:bCs/>
        </w:rPr>
        <w:t>21</w:t>
      </w:r>
      <w:r w:rsidRPr="00A5196C">
        <w:rPr>
          <w:rFonts w:ascii="Tahoma" w:hAnsi="Tahoma" w:cs="Tahoma"/>
          <w:bCs/>
        </w:rPr>
        <w:t>.</w:t>
      </w:r>
    </w:p>
    <w:p w:rsidR="00D31FB9" w:rsidRPr="00A5196C" w:rsidRDefault="00D31FB9" w:rsidP="00D31FB9">
      <w:pPr>
        <w:kinsoku w:val="0"/>
        <w:overflowPunct w:val="0"/>
        <w:spacing w:before="198" w:line="398" w:lineRule="exact"/>
        <w:ind w:left="216" w:right="144"/>
        <w:jc w:val="both"/>
        <w:textAlignment w:val="baseline"/>
        <w:rPr>
          <w:rFonts w:ascii="Tahoma" w:hAnsi="Tahoma" w:cs="Tahoma"/>
          <w:bCs/>
        </w:rPr>
      </w:pPr>
      <w:r w:rsidRPr="00A5196C">
        <w:rPr>
          <w:rFonts w:ascii="Tahoma" w:hAnsi="Tahoma" w:cs="Tahoma"/>
          <w:bCs/>
        </w:rPr>
        <w:t>La relazione è finalizzata a verificare il rispetto dei principi contabili e a motivarne eventuali scostamenti, con particolare riferimento all’impatto sugli equilibri finanziari del bilancio annuale e pluriennale.</w:t>
      </w:r>
    </w:p>
    <w:p w:rsidR="00D31FB9" w:rsidRPr="00A5196C" w:rsidRDefault="00D31FB9" w:rsidP="00D31FB9">
      <w:pPr>
        <w:kinsoku w:val="0"/>
        <w:overflowPunct w:val="0"/>
        <w:spacing w:before="203" w:line="398" w:lineRule="exact"/>
        <w:ind w:left="216" w:right="144"/>
        <w:jc w:val="both"/>
        <w:textAlignment w:val="baseline"/>
        <w:rPr>
          <w:rFonts w:ascii="Tahoma" w:hAnsi="Tahoma" w:cs="Tahoma"/>
          <w:bCs/>
        </w:rPr>
      </w:pPr>
      <w:r w:rsidRPr="00A5196C">
        <w:rPr>
          <w:rFonts w:ascii="Tahoma" w:hAnsi="Tahoma" w:cs="Tahoma"/>
          <w:bCs/>
        </w:rPr>
        <w:t xml:space="preserve">Il bilancio di previsione </w:t>
      </w:r>
      <w:r w:rsidR="00F575BF">
        <w:rPr>
          <w:rFonts w:ascii="Tahoma" w:hAnsi="Tahoma" w:cs="Tahoma"/>
          <w:bCs/>
        </w:rPr>
        <w:t>2019</w:t>
      </w:r>
      <w:r w:rsidR="00F575BF" w:rsidRPr="00A5196C">
        <w:rPr>
          <w:rFonts w:ascii="Tahoma" w:hAnsi="Tahoma" w:cs="Tahoma"/>
          <w:bCs/>
        </w:rPr>
        <w:t xml:space="preserve"> - 20</w:t>
      </w:r>
      <w:r w:rsidR="00F575BF">
        <w:rPr>
          <w:rFonts w:ascii="Tahoma" w:hAnsi="Tahoma" w:cs="Tahoma"/>
          <w:bCs/>
        </w:rPr>
        <w:t>21</w:t>
      </w:r>
      <w:r w:rsidRPr="00A5196C">
        <w:rPr>
          <w:rFonts w:ascii="Tahoma" w:hAnsi="Tahoma" w:cs="Tahoma"/>
          <w:bCs/>
        </w:rPr>
        <w:t xml:space="preserve">, disciplinato dal </w:t>
      </w:r>
      <w:proofErr w:type="spellStart"/>
      <w:r w:rsidRPr="00A5196C">
        <w:rPr>
          <w:rFonts w:ascii="Tahoma" w:hAnsi="Tahoma" w:cs="Tahoma"/>
          <w:bCs/>
        </w:rPr>
        <w:t>DLgs</w:t>
      </w:r>
      <w:proofErr w:type="spellEnd"/>
      <w:r w:rsidRPr="00A5196C">
        <w:rPr>
          <w:rFonts w:ascii="Tahoma" w:hAnsi="Tahoma" w:cs="Tahoma"/>
          <w:bCs/>
        </w:rPr>
        <w:t xml:space="preserve"> 118/2011 e dal </w:t>
      </w:r>
      <w:proofErr w:type="spellStart"/>
      <w:r w:rsidRPr="00A5196C">
        <w:rPr>
          <w:rFonts w:ascii="Tahoma" w:hAnsi="Tahoma" w:cs="Tahoma"/>
          <w:bCs/>
        </w:rPr>
        <w:t>d.p.c.m</w:t>
      </w:r>
      <w:proofErr w:type="spellEnd"/>
      <w:r w:rsidRPr="00A5196C">
        <w:rPr>
          <w:rFonts w:ascii="Tahoma" w:hAnsi="Tahoma" w:cs="Tahoma"/>
          <w:bCs/>
        </w:rPr>
        <w:t>. 28/12/2011, è redatto in base alle nuove disposizioni contabili, nella veste assunta dopo le modifiche del D.lg. 126/2014 e secondo gli schemi vigenti e rispetta i nuovi principi contabili.</w:t>
      </w:r>
    </w:p>
    <w:p w:rsidR="00D31FB9" w:rsidRPr="00A5196C" w:rsidRDefault="00D31FB9" w:rsidP="00D31FB9">
      <w:pPr>
        <w:kinsoku w:val="0"/>
        <w:overflowPunct w:val="0"/>
        <w:spacing w:before="193" w:line="401" w:lineRule="exact"/>
        <w:ind w:left="216" w:right="144"/>
        <w:jc w:val="both"/>
        <w:textAlignment w:val="baseline"/>
        <w:rPr>
          <w:rFonts w:ascii="Tahoma" w:hAnsi="Tahoma" w:cs="Tahoma"/>
          <w:bCs/>
        </w:rPr>
      </w:pPr>
      <w:r w:rsidRPr="00A5196C">
        <w:rPr>
          <w:rFonts w:ascii="Tahoma" w:hAnsi="Tahoma" w:cs="Tahoma"/>
          <w:bCs/>
        </w:rPr>
        <w:t xml:space="preserve">La presente nota integrativa viene compilata ai sensi dell’art. 11 comma 5 </w:t>
      </w:r>
      <w:proofErr w:type="spellStart"/>
      <w:r w:rsidRPr="00A5196C">
        <w:rPr>
          <w:rFonts w:ascii="Tahoma" w:hAnsi="Tahoma" w:cs="Tahoma"/>
          <w:bCs/>
        </w:rPr>
        <w:t>D.Lgs.</w:t>
      </w:r>
      <w:proofErr w:type="spellEnd"/>
      <w:r w:rsidRPr="00A5196C">
        <w:rPr>
          <w:rFonts w:ascii="Tahoma" w:hAnsi="Tahoma" w:cs="Tahoma"/>
          <w:bCs/>
        </w:rPr>
        <w:t xml:space="preserve"> 118/2011.</w:t>
      </w:r>
    </w:p>
    <w:p w:rsidR="00D31FB9" w:rsidRDefault="00D31FB9" w:rsidP="00D31FB9">
      <w:pPr>
        <w:kinsoku w:val="0"/>
        <w:overflowPunct w:val="0"/>
        <w:spacing w:before="193" w:line="401" w:lineRule="exact"/>
        <w:ind w:left="216" w:right="144"/>
        <w:jc w:val="both"/>
        <w:textAlignment w:val="baseline"/>
        <w:rPr>
          <w:rFonts w:ascii="Tahoma" w:hAnsi="Tahoma" w:cs="Tahoma"/>
          <w:b/>
          <w:bCs/>
        </w:rPr>
      </w:pPr>
    </w:p>
    <w:p w:rsidR="00D31FB9" w:rsidRDefault="00D31FB9" w:rsidP="00D31FB9">
      <w:pPr>
        <w:pBdr>
          <w:top w:val="single" w:sz="4" w:space="0" w:color="000000"/>
          <w:left w:val="single" w:sz="4" w:space="3" w:color="000000"/>
          <w:bottom w:val="single" w:sz="4" w:space="2" w:color="000000"/>
          <w:right w:val="single" w:sz="4" w:space="3" w:color="000000"/>
        </w:pBdr>
        <w:shd w:val="solid" w:color="FF6500" w:fill="auto"/>
        <w:kinsoku w:val="0"/>
        <w:overflowPunct w:val="0"/>
        <w:spacing w:line="324" w:lineRule="exact"/>
        <w:ind w:left="72" w:right="72"/>
        <w:jc w:val="both"/>
        <w:textAlignment w:val="baseline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</w:rPr>
        <w:t xml:space="preserve">a) </w:t>
      </w:r>
      <w:r>
        <w:rPr>
          <w:rFonts w:ascii="Tahoma" w:hAnsi="Tahoma" w:cs="Tahoma"/>
          <w:b/>
          <w:bCs/>
          <w:color w:val="000000"/>
          <w:sz w:val="24"/>
          <w:szCs w:val="24"/>
        </w:rPr>
        <w:t>Criteri di valutazione adottati per la formulazione delle previsioni, con particolare riferimento agli stanziamenti riguardanti gli accantonamenti spese potenziali, al fondo crediti di dubbia esigibilità e ai crediti per i quali non è previsto l’accantonamento a tale fondo.</w:t>
      </w:r>
    </w:p>
    <w:p w:rsidR="00D31FB9" w:rsidRPr="00A5196C" w:rsidRDefault="00D31FB9" w:rsidP="00D31FB9">
      <w:pPr>
        <w:kinsoku w:val="0"/>
        <w:overflowPunct w:val="0"/>
        <w:spacing w:before="284" w:line="287" w:lineRule="exact"/>
        <w:jc w:val="both"/>
        <w:textAlignment w:val="baseline"/>
        <w:rPr>
          <w:rFonts w:ascii="Tahoma" w:hAnsi="Tahoma" w:cs="Tahoma"/>
          <w:bCs/>
        </w:rPr>
      </w:pPr>
      <w:r w:rsidRPr="00A5196C">
        <w:rPr>
          <w:rFonts w:ascii="Tahoma" w:hAnsi="Tahoma" w:cs="Tahoma"/>
          <w:bCs/>
        </w:rPr>
        <w:t>Equilibri di bilancio</w:t>
      </w:r>
    </w:p>
    <w:p w:rsidR="00D31FB9" w:rsidRDefault="00D31FB9" w:rsidP="00B0480B">
      <w:pPr>
        <w:kinsoku w:val="0"/>
        <w:overflowPunct w:val="0"/>
        <w:spacing w:before="312" w:after="527" w:line="304" w:lineRule="exact"/>
        <w:ind w:right="216"/>
        <w:jc w:val="both"/>
        <w:textAlignment w:val="baseline"/>
        <w:rPr>
          <w:rFonts w:ascii="Tahoma" w:hAnsi="Tahoma" w:cs="Tahoma"/>
          <w:bCs/>
        </w:rPr>
      </w:pPr>
      <w:r w:rsidRPr="00A5196C">
        <w:rPr>
          <w:rFonts w:ascii="Tahoma" w:hAnsi="Tahoma" w:cs="Tahoma"/>
          <w:bCs/>
        </w:rPr>
        <w:t xml:space="preserve">Le previsioni relative al triennio </w:t>
      </w:r>
      <w:r w:rsidR="00F575BF">
        <w:rPr>
          <w:rFonts w:ascii="Tahoma" w:hAnsi="Tahoma" w:cs="Tahoma"/>
          <w:bCs/>
        </w:rPr>
        <w:t>2019</w:t>
      </w:r>
      <w:r w:rsidR="00F575BF" w:rsidRPr="00A5196C">
        <w:rPr>
          <w:rFonts w:ascii="Tahoma" w:hAnsi="Tahoma" w:cs="Tahoma"/>
          <w:bCs/>
        </w:rPr>
        <w:t xml:space="preserve"> - 20</w:t>
      </w:r>
      <w:r w:rsidR="00F575BF">
        <w:rPr>
          <w:rFonts w:ascii="Tahoma" w:hAnsi="Tahoma" w:cs="Tahoma"/>
          <w:bCs/>
        </w:rPr>
        <w:t>21</w:t>
      </w:r>
      <w:r w:rsidR="00F575BF" w:rsidRPr="00A5196C">
        <w:rPr>
          <w:rFonts w:ascii="Tahoma" w:hAnsi="Tahoma" w:cs="Tahoma"/>
          <w:bCs/>
        </w:rPr>
        <w:t xml:space="preserve"> </w:t>
      </w:r>
      <w:r w:rsidRPr="00A5196C">
        <w:rPr>
          <w:rFonts w:ascii="Tahoma" w:hAnsi="Tahoma" w:cs="Tahoma"/>
          <w:bCs/>
        </w:rPr>
        <w:t>sono state effettuate garantendo gli equilibri di bilancio come risulta dal seguente prospetto:</w:t>
      </w:r>
    </w:p>
    <w:p w:rsidR="00042C82" w:rsidRPr="00B0480B" w:rsidRDefault="00042C82" w:rsidP="00B0480B">
      <w:pPr>
        <w:kinsoku w:val="0"/>
        <w:overflowPunct w:val="0"/>
        <w:spacing w:before="312" w:after="527" w:line="304" w:lineRule="exact"/>
        <w:ind w:right="216"/>
        <w:jc w:val="both"/>
        <w:textAlignment w:val="baseline"/>
        <w:rPr>
          <w:rFonts w:ascii="Tahoma" w:hAnsi="Tahoma" w:cs="Tahoma"/>
          <w:bCs/>
        </w:rPr>
      </w:pPr>
    </w:p>
    <w:p w:rsidR="00D31FB9" w:rsidRDefault="00042C82">
      <w: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pt;height:631.25pt" o:ole="">
            <v:imagedata r:id="rId7" o:title=""/>
          </v:shape>
          <o:OLEObject Type="Embed" ProgID="AcroExch.Document.DC" ShapeID="_x0000_i1025" DrawAspect="Content" ObjectID="_1612011818" r:id="rId8"/>
        </w:object>
      </w:r>
    </w:p>
    <w:p w:rsidR="00042C82" w:rsidRDefault="00042C82" w:rsidP="00D31FB9">
      <w:pPr>
        <w:kinsoku w:val="0"/>
        <w:overflowPunct w:val="0"/>
        <w:spacing w:before="12" w:line="308" w:lineRule="exact"/>
        <w:jc w:val="both"/>
        <w:textAlignment w:val="baseline"/>
      </w:pPr>
    </w:p>
    <w:p w:rsidR="00B53DCD" w:rsidRDefault="00B53DCD" w:rsidP="00D31FB9">
      <w:pPr>
        <w:kinsoku w:val="0"/>
        <w:overflowPunct w:val="0"/>
        <w:spacing w:before="12" w:line="308" w:lineRule="exact"/>
        <w:jc w:val="both"/>
        <w:textAlignment w:val="baseline"/>
        <w:rPr>
          <w:rFonts w:ascii="Tahoma" w:hAnsi="Tahoma" w:cs="Tahoma"/>
          <w:bCs/>
          <w:sz w:val="24"/>
          <w:szCs w:val="24"/>
        </w:rPr>
      </w:pPr>
    </w:p>
    <w:p w:rsidR="00B53DCD" w:rsidRDefault="00B53DCD" w:rsidP="00D31FB9">
      <w:pPr>
        <w:kinsoku w:val="0"/>
        <w:overflowPunct w:val="0"/>
        <w:spacing w:before="12" w:line="308" w:lineRule="exact"/>
        <w:jc w:val="both"/>
        <w:textAlignment w:val="baseline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object w:dxaOrig="8925" w:dyaOrig="12630">
          <v:shape id="_x0000_i1035" type="#_x0000_t75" style="width:446.2pt;height:631.25pt" o:ole="">
            <v:imagedata r:id="rId9" o:title=""/>
          </v:shape>
          <o:OLEObject Type="Embed" ProgID="AcroExch.Document.DC" ShapeID="_x0000_i1035" DrawAspect="Content" ObjectID="_1612011819" r:id="rId10"/>
        </w:object>
      </w:r>
    </w:p>
    <w:p w:rsidR="00B53DCD" w:rsidRDefault="00B53DCD" w:rsidP="00B53DCD">
      <w:pPr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br w:type="page"/>
      </w:r>
      <w:r>
        <w:rPr>
          <w:rFonts w:ascii="Tahoma" w:hAnsi="Tahoma" w:cs="Tahoma"/>
          <w:bCs/>
          <w:noProof/>
          <w:sz w:val="24"/>
          <w:szCs w:val="24"/>
          <w:lang w:eastAsia="it-IT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1127</wp:posOffset>
            </wp:positionH>
            <wp:positionV relativeFrom="paragraph">
              <wp:posOffset>-592634</wp:posOffset>
            </wp:positionV>
            <wp:extent cx="6029121" cy="8531976"/>
            <wp:effectExtent l="0" t="0" r="0" b="254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g2-00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9121" cy="85319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3DCD" w:rsidRDefault="00B53DCD" w:rsidP="00B53DCD">
      <w:pPr>
        <w:rPr>
          <w:rFonts w:ascii="Tahoma" w:hAnsi="Tahoma" w:cs="Tahoma"/>
          <w:bCs/>
          <w:sz w:val="24"/>
          <w:szCs w:val="24"/>
        </w:rPr>
      </w:pPr>
    </w:p>
    <w:p w:rsidR="00B53DCD" w:rsidRDefault="00B53DCD" w:rsidP="00B53DCD">
      <w:pPr>
        <w:rPr>
          <w:rFonts w:ascii="Tahoma" w:hAnsi="Tahoma" w:cs="Tahoma"/>
          <w:bCs/>
          <w:sz w:val="24"/>
          <w:szCs w:val="24"/>
        </w:rPr>
      </w:pPr>
    </w:p>
    <w:p w:rsidR="00B53DCD" w:rsidRDefault="00B53DCD" w:rsidP="00B53DCD">
      <w:pPr>
        <w:rPr>
          <w:rFonts w:ascii="Tahoma" w:hAnsi="Tahoma" w:cs="Tahoma"/>
          <w:bCs/>
          <w:sz w:val="24"/>
          <w:szCs w:val="24"/>
        </w:rPr>
      </w:pPr>
    </w:p>
    <w:p w:rsidR="00FC0631" w:rsidRDefault="00FC0631" w:rsidP="00B53DCD">
      <w:pPr>
        <w:rPr>
          <w:rFonts w:ascii="Tahoma" w:hAnsi="Tahoma" w:cs="Tahoma"/>
          <w:bCs/>
          <w:sz w:val="24"/>
          <w:szCs w:val="24"/>
        </w:rPr>
      </w:pPr>
    </w:p>
    <w:p w:rsidR="00D31FB9" w:rsidRPr="00B53DCD" w:rsidRDefault="00D31FB9" w:rsidP="00D31FB9">
      <w:pPr>
        <w:kinsoku w:val="0"/>
        <w:overflowPunct w:val="0"/>
        <w:spacing w:before="12" w:line="308" w:lineRule="exact"/>
        <w:jc w:val="both"/>
        <w:textAlignment w:val="baseline"/>
        <w:rPr>
          <w:rFonts w:ascii="Tahoma" w:hAnsi="Tahoma" w:cs="Tahoma"/>
          <w:b/>
          <w:bCs/>
          <w:sz w:val="24"/>
          <w:szCs w:val="24"/>
        </w:rPr>
      </w:pPr>
      <w:r w:rsidRPr="00B53DCD">
        <w:rPr>
          <w:b/>
          <w:noProof/>
          <w:lang w:eastAsia="it-IT"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25848A77" wp14:editId="68C0B4F8">
                <wp:simplePos x="0" y="0"/>
                <wp:positionH relativeFrom="page">
                  <wp:posOffset>6727825</wp:posOffset>
                </wp:positionH>
                <wp:positionV relativeFrom="page">
                  <wp:posOffset>9916795</wp:posOffset>
                </wp:positionV>
                <wp:extent cx="186690" cy="170180"/>
                <wp:effectExtent l="3175" t="1270" r="635" b="0"/>
                <wp:wrapSquare wrapText="bothSides"/>
                <wp:docPr id="1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" cy="1701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1FB9" w:rsidRDefault="00D31FB9" w:rsidP="00D31FB9">
                            <w:pPr>
                              <w:kinsoku w:val="0"/>
                              <w:overflowPunct w:val="0"/>
                              <w:spacing w:before="26" w:line="240" w:lineRule="exact"/>
                              <w:textAlignment w:val="baseline"/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48A77" id="Text Box 6" o:spid="_x0000_s1028" type="#_x0000_t202" style="position:absolute;left:0;text-align:left;margin-left:529.75pt;margin-top:780.85pt;width:14.7pt;height:13.4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" o:allowincell="f" stroked="f">
                <v:fill opacity="0"/>
                <v:textbox inset="0,0,0,0">
                  <w:txbxContent>
                    <w:p w:rsidR="00D31FB9" w:rsidRDefault="00D31FB9" w:rsidP="00D31FB9">
                      <w:pPr>
                        <w:kinsoku w:val="0"/>
                        <w:overflowPunct w:val="0"/>
                        <w:spacing w:before="26" w:line="240" w:lineRule="exact"/>
                        <w:textAlignment w:val="baseline"/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B53DCD">
        <w:rPr>
          <w:rFonts w:ascii="Tahoma" w:hAnsi="Tahoma" w:cs="Tahoma"/>
          <w:b/>
          <w:bCs/>
          <w:sz w:val="24"/>
          <w:szCs w:val="24"/>
        </w:rPr>
        <w:t>Entrate tributarie</w:t>
      </w:r>
    </w:p>
    <w:p w:rsidR="00D31FB9" w:rsidRPr="00A5196C" w:rsidRDefault="00D31FB9" w:rsidP="00D31FB9">
      <w:pPr>
        <w:kinsoku w:val="0"/>
        <w:overflowPunct w:val="0"/>
        <w:spacing w:before="12" w:line="308" w:lineRule="exact"/>
        <w:jc w:val="both"/>
        <w:textAlignment w:val="baseline"/>
        <w:rPr>
          <w:rFonts w:ascii="Tahoma" w:hAnsi="Tahoma" w:cs="Tahoma"/>
          <w:bCs/>
          <w:sz w:val="24"/>
          <w:szCs w:val="24"/>
        </w:rPr>
      </w:pPr>
    </w:p>
    <w:p w:rsidR="00D31FB9" w:rsidRDefault="00DD0D0B" w:rsidP="00D31FB9">
      <w:pPr>
        <w:jc w:val="both"/>
        <w:rPr>
          <w:rFonts w:ascii="Tahoma" w:hAnsi="Tahoma" w:cs="Tahoma"/>
          <w:bCs/>
          <w:spacing w:val="-4"/>
        </w:rPr>
      </w:pPr>
      <w:r>
        <w:rPr>
          <w:rFonts w:ascii="Tahoma" w:hAnsi="Tahoma" w:cs="Tahoma"/>
          <w:bCs/>
          <w:spacing w:val="-4"/>
        </w:rPr>
        <w:t xml:space="preserve"> S</w:t>
      </w:r>
      <w:r w:rsidR="00D31FB9">
        <w:rPr>
          <w:rFonts w:ascii="Tahoma" w:hAnsi="Tahoma" w:cs="Tahoma"/>
          <w:bCs/>
          <w:spacing w:val="-4"/>
        </w:rPr>
        <w:t xml:space="preserve">i è provveduto a </w:t>
      </w:r>
      <w:r>
        <w:rPr>
          <w:rFonts w:ascii="Tahoma" w:hAnsi="Tahoma" w:cs="Tahoma"/>
          <w:bCs/>
          <w:spacing w:val="-4"/>
        </w:rPr>
        <w:t>piccole variazioni in aumento</w:t>
      </w:r>
      <w:r w:rsidR="00D31FB9">
        <w:rPr>
          <w:rFonts w:ascii="Tahoma" w:hAnsi="Tahoma" w:cs="Tahoma"/>
          <w:bCs/>
          <w:spacing w:val="-4"/>
        </w:rPr>
        <w:t xml:space="preserve"> nel gettito tributario</w:t>
      </w:r>
      <w:r>
        <w:rPr>
          <w:rFonts w:ascii="Tahoma" w:hAnsi="Tahoma" w:cs="Tahoma"/>
          <w:bCs/>
          <w:spacing w:val="-4"/>
        </w:rPr>
        <w:t xml:space="preserve"> della </w:t>
      </w:r>
      <w:r w:rsidR="00A75AEA">
        <w:rPr>
          <w:rFonts w:ascii="Tahoma" w:hAnsi="Tahoma" w:cs="Tahoma"/>
          <w:bCs/>
          <w:spacing w:val="-4"/>
        </w:rPr>
        <w:t>Tari mentre rimangono invariato il resto</w:t>
      </w:r>
      <w:r w:rsidR="00D31FB9" w:rsidRPr="00A5196C">
        <w:rPr>
          <w:rFonts w:ascii="Tahoma" w:hAnsi="Tahoma" w:cs="Tahoma"/>
          <w:bCs/>
          <w:spacing w:val="-4"/>
        </w:rPr>
        <w:t>.</w:t>
      </w:r>
    </w:p>
    <w:p w:rsidR="00D31FB9" w:rsidRPr="00A5196C" w:rsidRDefault="00D31FB9" w:rsidP="00D31FB9">
      <w:pPr>
        <w:jc w:val="both"/>
        <w:rPr>
          <w:rFonts w:ascii="Tahoma" w:hAnsi="Tahoma" w:cs="Tahoma"/>
          <w:bCs/>
          <w:spacing w:val="-4"/>
        </w:rPr>
      </w:pPr>
    </w:p>
    <w:p w:rsidR="00D31FB9" w:rsidRPr="00A5196C" w:rsidRDefault="009219A8" w:rsidP="00D31FB9">
      <w:pPr>
        <w:jc w:val="both"/>
        <w:rPr>
          <w:rFonts w:ascii="Tahoma" w:hAnsi="Tahoma" w:cs="Tahoma"/>
          <w:bCs/>
          <w:spacing w:val="-4"/>
        </w:rPr>
      </w:pPr>
      <w:r>
        <w:rPr>
          <w:rFonts w:ascii="Tahoma" w:hAnsi="Tahoma" w:cs="Tahoma"/>
          <w:bCs/>
          <w:spacing w:val="-4"/>
        </w:rPr>
        <w:t>Nel 2020</w:t>
      </w:r>
      <w:r w:rsidR="00D31FB9" w:rsidRPr="00A5196C">
        <w:rPr>
          <w:rFonts w:ascii="Tahoma" w:hAnsi="Tahoma" w:cs="Tahoma"/>
          <w:bCs/>
          <w:spacing w:val="-4"/>
        </w:rPr>
        <w:t xml:space="preserve"> e 20</w:t>
      </w:r>
      <w:r>
        <w:rPr>
          <w:rFonts w:ascii="Tahoma" w:hAnsi="Tahoma" w:cs="Tahoma"/>
          <w:bCs/>
          <w:spacing w:val="-4"/>
        </w:rPr>
        <w:t>21</w:t>
      </w:r>
      <w:r w:rsidR="00D31FB9" w:rsidRPr="00A5196C">
        <w:rPr>
          <w:rFonts w:ascii="Tahoma" w:hAnsi="Tahoma" w:cs="Tahoma"/>
          <w:bCs/>
          <w:spacing w:val="-4"/>
        </w:rPr>
        <w:t xml:space="preserve"> </w:t>
      </w:r>
      <w:r w:rsidR="00A75AEA">
        <w:rPr>
          <w:rFonts w:ascii="Tahoma" w:hAnsi="Tahoma" w:cs="Tahoma"/>
          <w:bCs/>
          <w:spacing w:val="-4"/>
        </w:rPr>
        <w:t>seguono l’andamento del 201</w:t>
      </w:r>
      <w:r>
        <w:rPr>
          <w:rFonts w:ascii="Tahoma" w:hAnsi="Tahoma" w:cs="Tahoma"/>
          <w:bCs/>
          <w:spacing w:val="-4"/>
        </w:rPr>
        <w:t>9</w:t>
      </w:r>
      <w:r w:rsidR="00D31FB9" w:rsidRPr="00A5196C">
        <w:rPr>
          <w:rFonts w:ascii="Tahoma" w:hAnsi="Tahoma" w:cs="Tahoma"/>
          <w:bCs/>
          <w:spacing w:val="-4"/>
        </w:rPr>
        <w:t>.</w:t>
      </w:r>
    </w:p>
    <w:p w:rsidR="00D31FB9" w:rsidRPr="00A5196C" w:rsidRDefault="00D31FB9" w:rsidP="00D31FB9">
      <w:pPr>
        <w:jc w:val="both"/>
        <w:rPr>
          <w:rFonts w:ascii="Tahoma" w:hAnsi="Tahoma" w:cs="Tahoma"/>
          <w:bCs/>
          <w:spacing w:val="-4"/>
        </w:rPr>
      </w:pPr>
    </w:p>
    <w:p w:rsidR="00D31FB9" w:rsidRPr="00A5196C" w:rsidRDefault="00D31FB9" w:rsidP="00D31FB9">
      <w:pPr>
        <w:kinsoku w:val="0"/>
        <w:overflowPunct w:val="0"/>
        <w:spacing w:line="307" w:lineRule="exact"/>
        <w:jc w:val="both"/>
        <w:textAlignment w:val="baseline"/>
        <w:rPr>
          <w:rFonts w:ascii="Tahoma" w:hAnsi="Tahoma" w:cs="Tahoma"/>
          <w:bCs/>
          <w:sz w:val="24"/>
          <w:szCs w:val="24"/>
        </w:rPr>
      </w:pPr>
      <w:r w:rsidRPr="00A5196C">
        <w:rPr>
          <w:rFonts w:ascii="Tahoma" w:hAnsi="Tahoma" w:cs="Tahoma"/>
          <w:bCs/>
          <w:sz w:val="24"/>
          <w:szCs w:val="24"/>
        </w:rPr>
        <w:t>Entrate da trasferimenti correnti</w:t>
      </w:r>
    </w:p>
    <w:p w:rsidR="00D31FB9" w:rsidRPr="00A5196C" w:rsidRDefault="00D31FB9" w:rsidP="00D31FB9">
      <w:pPr>
        <w:kinsoku w:val="0"/>
        <w:overflowPunct w:val="0"/>
        <w:spacing w:before="4" w:line="20" w:lineRule="exact"/>
        <w:ind w:left="141" w:right="141"/>
        <w:jc w:val="both"/>
        <w:textAlignment w:val="baseline"/>
        <w:rPr>
          <w:sz w:val="24"/>
          <w:szCs w:val="24"/>
        </w:rPr>
      </w:pPr>
    </w:p>
    <w:p w:rsidR="00D31FB9" w:rsidRPr="00A5196C" w:rsidRDefault="00D31FB9" w:rsidP="00D31FB9">
      <w:pPr>
        <w:kinsoku w:val="0"/>
        <w:overflowPunct w:val="0"/>
        <w:spacing w:line="303" w:lineRule="exact"/>
        <w:ind w:right="216"/>
        <w:jc w:val="both"/>
        <w:textAlignment w:val="baseline"/>
        <w:rPr>
          <w:rFonts w:ascii="Tahoma" w:hAnsi="Tahoma" w:cs="Tahoma"/>
          <w:bCs/>
        </w:rPr>
      </w:pPr>
      <w:r w:rsidRPr="00A5196C">
        <w:rPr>
          <w:rFonts w:ascii="Tahoma" w:hAnsi="Tahoma" w:cs="Tahoma"/>
          <w:bCs/>
        </w:rPr>
        <w:t>Nell’ambito dei trasferimenti correnti iscritti al titolo 2° dell’entrata, la previsione 201</w:t>
      </w:r>
      <w:r w:rsidR="009219A8">
        <w:rPr>
          <w:rFonts w:ascii="Tahoma" w:hAnsi="Tahoma" w:cs="Tahoma"/>
          <w:bCs/>
        </w:rPr>
        <w:t>9</w:t>
      </w:r>
      <w:r w:rsidRPr="00A5196C">
        <w:rPr>
          <w:rFonts w:ascii="Tahoma" w:hAnsi="Tahoma" w:cs="Tahoma"/>
          <w:bCs/>
        </w:rPr>
        <w:t xml:space="preserve"> è stata stimata in</w:t>
      </w:r>
      <w:r w:rsidRPr="00A5196C">
        <w:rPr>
          <w:rFonts w:ascii="Tahoma" w:hAnsi="Tahoma" w:cs="Tahoma"/>
          <w:bCs/>
          <w:spacing w:val="-4"/>
        </w:rPr>
        <w:t xml:space="preserve"> €</w:t>
      </w:r>
      <w:r w:rsidRPr="00A5196C">
        <w:rPr>
          <w:rFonts w:ascii="Tahoma" w:hAnsi="Tahoma" w:cs="Tahoma"/>
          <w:bCs/>
        </w:rPr>
        <w:t xml:space="preserve"> </w:t>
      </w:r>
      <w:r w:rsidR="009219A8">
        <w:rPr>
          <w:rFonts w:ascii="Tahoma" w:hAnsi="Tahoma" w:cs="Tahoma"/>
          <w:bCs/>
          <w:spacing w:val="-4"/>
        </w:rPr>
        <w:t>877</w:t>
      </w:r>
      <w:r w:rsidR="00A75AEA">
        <w:rPr>
          <w:rFonts w:ascii="Tahoma" w:hAnsi="Tahoma" w:cs="Tahoma"/>
          <w:bCs/>
          <w:spacing w:val="-4"/>
        </w:rPr>
        <w:t>.800</w:t>
      </w:r>
      <w:r>
        <w:rPr>
          <w:rFonts w:ascii="Tahoma" w:hAnsi="Tahoma" w:cs="Tahoma"/>
          <w:bCs/>
          <w:spacing w:val="-4"/>
        </w:rPr>
        <w:t>,</w:t>
      </w:r>
      <w:proofErr w:type="gramStart"/>
      <w:r>
        <w:rPr>
          <w:rFonts w:ascii="Tahoma" w:hAnsi="Tahoma" w:cs="Tahoma"/>
          <w:bCs/>
          <w:spacing w:val="-4"/>
        </w:rPr>
        <w:t>00</w:t>
      </w:r>
      <w:r w:rsidRPr="00A5196C">
        <w:rPr>
          <w:rFonts w:ascii="Tahoma" w:hAnsi="Tahoma" w:cs="Tahoma"/>
          <w:bCs/>
        </w:rPr>
        <w:t xml:space="preserve">  </w:t>
      </w:r>
      <w:r>
        <w:rPr>
          <w:rFonts w:ascii="Tahoma" w:hAnsi="Tahoma" w:cs="Tahoma"/>
          <w:bCs/>
        </w:rPr>
        <w:t>in</w:t>
      </w:r>
      <w:proofErr w:type="gramEnd"/>
      <w:r>
        <w:rPr>
          <w:rFonts w:ascii="Tahoma" w:hAnsi="Tahoma" w:cs="Tahoma"/>
          <w:bCs/>
        </w:rPr>
        <w:t xml:space="preserve"> linea prudenziale con l’assestato</w:t>
      </w:r>
      <w:r w:rsidR="009219A8">
        <w:rPr>
          <w:rFonts w:ascii="Tahoma" w:hAnsi="Tahoma" w:cs="Tahoma"/>
          <w:bCs/>
        </w:rPr>
        <w:t xml:space="preserve"> 2018</w:t>
      </w:r>
      <w:r w:rsidRPr="00A5196C">
        <w:rPr>
          <w:rFonts w:ascii="Tahoma" w:hAnsi="Tahoma" w:cs="Tahoma"/>
          <w:bCs/>
        </w:rPr>
        <w:t xml:space="preserve"> (€.</w:t>
      </w:r>
      <w:r>
        <w:rPr>
          <w:rFonts w:ascii="Tahoma" w:hAnsi="Tahoma" w:cs="Tahoma"/>
          <w:bCs/>
        </w:rPr>
        <w:t xml:space="preserve"> </w:t>
      </w:r>
      <w:r w:rsidR="009219A8">
        <w:rPr>
          <w:rFonts w:ascii="Tahoma" w:hAnsi="Tahoma" w:cs="Tahoma"/>
          <w:bCs/>
        </w:rPr>
        <w:t>909.237,75</w:t>
      </w:r>
      <w:r>
        <w:rPr>
          <w:rFonts w:ascii="Tahoma" w:hAnsi="Tahoma" w:cs="Tahoma"/>
          <w:bCs/>
        </w:rPr>
        <w:t>)</w:t>
      </w:r>
    </w:p>
    <w:p w:rsidR="00D31FB9" w:rsidRPr="00A5196C" w:rsidRDefault="00D31FB9" w:rsidP="00D31FB9">
      <w:pPr>
        <w:kinsoku w:val="0"/>
        <w:overflowPunct w:val="0"/>
        <w:spacing w:before="48" w:line="259" w:lineRule="exact"/>
        <w:jc w:val="both"/>
        <w:textAlignment w:val="baseline"/>
        <w:rPr>
          <w:rFonts w:ascii="Tahoma" w:hAnsi="Tahoma" w:cs="Tahoma"/>
          <w:bCs/>
          <w:spacing w:val="-3"/>
        </w:rPr>
      </w:pPr>
      <w:r w:rsidRPr="00A5196C">
        <w:rPr>
          <w:rFonts w:ascii="Tahoma" w:hAnsi="Tahoma" w:cs="Tahoma"/>
          <w:bCs/>
          <w:spacing w:val="-3"/>
        </w:rPr>
        <w:t>Le principali voci da sottolineare sono:</w:t>
      </w:r>
    </w:p>
    <w:p w:rsidR="00D31FB9" w:rsidRPr="00A5196C" w:rsidRDefault="00D31FB9" w:rsidP="00D31FB9">
      <w:pPr>
        <w:widowControl w:val="0"/>
        <w:numPr>
          <w:ilvl w:val="0"/>
          <w:numId w:val="2"/>
        </w:numPr>
        <w:kinsoku w:val="0"/>
        <w:overflowPunct w:val="0"/>
        <w:spacing w:before="48" w:after="0" w:line="287" w:lineRule="exact"/>
        <w:jc w:val="both"/>
        <w:textAlignment w:val="baseline"/>
        <w:rPr>
          <w:rFonts w:ascii="Tahoma" w:hAnsi="Tahoma" w:cs="Tahoma"/>
          <w:bCs/>
          <w:spacing w:val="-3"/>
        </w:rPr>
      </w:pPr>
      <w:proofErr w:type="gramStart"/>
      <w:r w:rsidRPr="00A5196C">
        <w:rPr>
          <w:rFonts w:ascii="Tahoma" w:hAnsi="Tahoma" w:cs="Tahoma"/>
          <w:bCs/>
          <w:spacing w:val="-3"/>
        </w:rPr>
        <w:t>il</w:t>
      </w:r>
      <w:proofErr w:type="gramEnd"/>
      <w:r w:rsidRPr="00A5196C">
        <w:rPr>
          <w:rFonts w:ascii="Tahoma" w:hAnsi="Tahoma" w:cs="Tahoma"/>
          <w:bCs/>
          <w:spacing w:val="-3"/>
        </w:rPr>
        <w:t xml:space="preserve"> trasferimento finanziario senza vincoli settoriali di destinazione erogato dalla Regione, stimato,  </w:t>
      </w:r>
      <w:r w:rsidR="009219A8">
        <w:rPr>
          <w:rFonts w:ascii="Tahoma" w:hAnsi="Tahoma" w:cs="Tahoma"/>
          <w:bCs/>
          <w:spacing w:val="-3"/>
        </w:rPr>
        <w:t>in  euro 773</w:t>
      </w:r>
      <w:r>
        <w:rPr>
          <w:rFonts w:ascii="Tahoma" w:hAnsi="Tahoma" w:cs="Tahoma"/>
          <w:bCs/>
          <w:spacing w:val="-3"/>
        </w:rPr>
        <w:t>.000,00</w:t>
      </w:r>
    </w:p>
    <w:p w:rsidR="00D31FB9" w:rsidRPr="00A5196C" w:rsidRDefault="00D31FB9" w:rsidP="00D31FB9">
      <w:pPr>
        <w:kinsoku w:val="0"/>
        <w:overflowPunct w:val="0"/>
        <w:spacing w:before="48" w:line="287" w:lineRule="exact"/>
        <w:jc w:val="both"/>
        <w:textAlignment w:val="baseline"/>
        <w:rPr>
          <w:rFonts w:ascii="Tahoma" w:hAnsi="Tahoma" w:cs="Tahoma"/>
          <w:bCs/>
          <w:spacing w:val="-3"/>
        </w:rPr>
      </w:pPr>
      <w:proofErr w:type="gramStart"/>
      <w:r w:rsidRPr="00A5196C">
        <w:rPr>
          <w:rFonts w:ascii="Tahoma" w:hAnsi="Tahoma" w:cs="Tahoma"/>
          <w:bCs/>
          <w:spacing w:val="-3"/>
        </w:rPr>
        <w:t>la</w:t>
      </w:r>
      <w:proofErr w:type="gramEnd"/>
      <w:r w:rsidRPr="00A5196C">
        <w:rPr>
          <w:rFonts w:ascii="Tahoma" w:hAnsi="Tahoma" w:cs="Tahoma"/>
          <w:bCs/>
          <w:spacing w:val="-3"/>
        </w:rPr>
        <w:t xml:space="preserve"> previs</w:t>
      </w:r>
      <w:r w:rsidR="009219A8">
        <w:rPr>
          <w:rFonts w:ascii="Tahoma" w:hAnsi="Tahoma" w:cs="Tahoma"/>
          <w:bCs/>
          <w:spacing w:val="-3"/>
        </w:rPr>
        <w:t>ione è invariata negli anni 2020</w:t>
      </w:r>
      <w:r w:rsidRPr="00A5196C">
        <w:rPr>
          <w:rFonts w:ascii="Tahoma" w:hAnsi="Tahoma" w:cs="Tahoma"/>
          <w:bCs/>
          <w:spacing w:val="-3"/>
        </w:rPr>
        <w:t xml:space="preserve"> e 20</w:t>
      </w:r>
      <w:r w:rsidR="009219A8">
        <w:rPr>
          <w:rFonts w:ascii="Tahoma" w:hAnsi="Tahoma" w:cs="Tahoma"/>
          <w:bCs/>
          <w:spacing w:val="-3"/>
        </w:rPr>
        <w:t>21</w:t>
      </w:r>
      <w:r w:rsidRPr="00A5196C">
        <w:rPr>
          <w:rFonts w:ascii="Tahoma" w:hAnsi="Tahoma" w:cs="Tahoma"/>
          <w:bCs/>
          <w:spacing w:val="-3"/>
        </w:rPr>
        <w:t>.</w:t>
      </w:r>
    </w:p>
    <w:p w:rsidR="00D31FB9" w:rsidRPr="00B53DCD" w:rsidRDefault="00D31FB9" w:rsidP="00D31FB9">
      <w:pPr>
        <w:kinsoku w:val="0"/>
        <w:overflowPunct w:val="0"/>
        <w:spacing w:before="295" w:line="308" w:lineRule="exact"/>
        <w:jc w:val="both"/>
        <w:textAlignment w:val="baseline"/>
        <w:rPr>
          <w:rFonts w:ascii="Tahoma" w:hAnsi="Tahoma" w:cs="Tahoma"/>
          <w:b/>
          <w:bCs/>
          <w:sz w:val="24"/>
          <w:szCs w:val="24"/>
        </w:rPr>
      </w:pPr>
      <w:r w:rsidRPr="00B53DCD">
        <w:rPr>
          <w:rFonts w:ascii="Tahoma" w:hAnsi="Tahoma" w:cs="Tahoma"/>
          <w:b/>
          <w:bCs/>
          <w:sz w:val="24"/>
          <w:szCs w:val="24"/>
        </w:rPr>
        <w:t xml:space="preserve">Entrate </w:t>
      </w:r>
      <w:proofErr w:type="spellStart"/>
      <w:r w:rsidRPr="00B53DCD">
        <w:rPr>
          <w:rFonts w:ascii="Tahoma" w:hAnsi="Tahoma" w:cs="Tahoma"/>
          <w:b/>
          <w:bCs/>
          <w:sz w:val="24"/>
          <w:szCs w:val="24"/>
        </w:rPr>
        <w:t>extratributarie</w:t>
      </w:r>
      <w:proofErr w:type="spellEnd"/>
    </w:p>
    <w:p w:rsidR="00D31FB9" w:rsidRPr="00A5196C" w:rsidRDefault="00D31FB9" w:rsidP="00D31FB9">
      <w:pPr>
        <w:kinsoku w:val="0"/>
        <w:overflowPunct w:val="0"/>
        <w:spacing w:line="302" w:lineRule="exact"/>
        <w:ind w:right="216"/>
        <w:jc w:val="both"/>
        <w:textAlignment w:val="baseline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Le entrate </w:t>
      </w:r>
      <w:proofErr w:type="spellStart"/>
      <w:proofErr w:type="gramStart"/>
      <w:r w:rsidR="00A75AEA">
        <w:rPr>
          <w:rFonts w:ascii="Tahoma" w:hAnsi="Tahoma" w:cs="Tahoma"/>
          <w:bCs/>
        </w:rPr>
        <w:t>extratributarie</w:t>
      </w:r>
      <w:proofErr w:type="spellEnd"/>
      <w:r w:rsidR="00A75AEA">
        <w:rPr>
          <w:rFonts w:ascii="Tahoma" w:hAnsi="Tahoma" w:cs="Tahoma"/>
          <w:bCs/>
        </w:rPr>
        <w:t xml:space="preserve">  201</w:t>
      </w:r>
      <w:r w:rsidR="009219A8">
        <w:rPr>
          <w:rFonts w:ascii="Tahoma" w:hAnsi="Tahoma" w:cs="Tahoma"/>
          <w:bCs/>
        </w:rPr>
        <w:t>9</w:t>
      </w:r>
      <w:proofErr w:type="gramEnd"/>
      <w:r w:rsidRPr="00A5196C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 xml:space="preserve">sono </w:t>
      </w:r>
      <w:r w:rsidR="00A75AEA">
        <w:rPr>
          <w:rFonts w:ascii="Tahoma" w:hAnsi="Tahoma" w:cs="Tahoma"/>
          <w:bCs/>
        </w:rPr>
        <w:t>di</w:t>
      </w:r>
      <w:r>
        <w:rPr>
          <w:rFonts w:ascii="Tahoma" w:hAnsi="Tahoma" w:cs="Tahoma"/>
          <w:bCs/>
        </w:rPr>
        <w:t xml:space="preserve"> € </w:t>
      </w:r>
      <w:r w:rsidR="009219A8">
        <w:rPr>
          <w:rFonts w:ascii="Tahoma" w:hAnsi="Tahoma" w:cs="Tahoma"/>
          <w:bCs/>
        </w:rPr>
        <w:t>282.500</w:t>
      </w:r>
      <w:r>
        <w:rPr>
          <w:rFonts w:ascii="Tahoma" w:hAnsi="Tahoma" w:cs="Tahoma"/>
          <w:bCs/>
        </w:rPr>
        <w:t xml:space="preserve">,00 </w:t>
      </w:r>
      <w:r w:rsidR="00A75AEA">
        <w:rPr>
          <w:rFonts w:ascii="Tahoma" w:hAnsi="Tahoma" w:cs="Tahoma"/>
          <w:bCs/>
        </w:rPr>
        <w:t>in linea negli</w:t>
      </w:r>
      <w:r>
        <w:rPr>
          <w:rFonts w:ascii="Tahoma" w:hAnsi="Tahoma" w:cs="Tahoma"/>
          <w:bCs/>
        </w:rPr>
        <w:t xml:space="preserve"> esercizi 201</w:t>
      </w:r>
      <w:r w:rsidR="009219A8">
        <w:rPr>
          <w:rFonts w:ascii="Tahoma" w:hAnsi="Tahoma" w:cs="Tahoma"/>
          <w:bCs/>
        </w:rPr>
        <w:t>9</w:t>
      </w:r>
      <w:r>
        <w:rPr>
          <w:rFonts w:ascii="Tahoma" w:hAnsi="Tahoma" w:cs="Tahoma"/>
          <w:bCs/>
        </w:rPr>
        <w:t xml:space="preserve"> 20</w:t>
      </w:r>
      <w:r w:rsidR="009219A8">
        <w:rPr>
          <w:rFonts w:ascii="Tahoma" w:hAnsi="Tahoma" w:cs="Tahoma"/>
          <w:bCs/>
        </w:rPr>
        <w:t>20 rispettivamente a € 283.5</w:t>
      </w:r>
      <w:r>
        <w:rPr>
          <w:rFonts w:ascii="Tahoma" w:hAnsi="Tahoma" w:cs="Tahoma"/>
          <w:bCs/>
        </w:rPr>
        <w:t>00,00</w:t>
      </w:r>
      <w:r w:rsidR="009219A8">
        <w:rPr>
          <w:rFonts w:ascii="Tahoma" w:hAnsi="Tahoma" w:cs="Tahoma"/>
          <w:bCs/>
        </w:rPr>
        <w:t xml:space="preserve"> e 283.5</w:t>
      </w:r>
      <w:r w:rsidR="00A75AEA">
        <w:rPr>
          <w:rFonts w:ascii="Tahoma" w:hAnsi="Tahoma" w:cs="Tahoma"/>
          <w:bCs/>
        </w:rPr>
        <w:t>00,00</w:t>
      </w:r>
      <w:r>
        <w:rPr>
          <w:rFonts w:ascii="Tahoma" w:hAnsi="Tahoma" w:cs="Tahoma"/>
          <w:bCs/>
        </w:rPr>
        <w:t xml:space="preserve">. </w:t>
      </w:r>
    </w:p>
    <w:p w:rsidR="00D31FB9" w:rsidRPr="00A5196C" w:rsidRDefault="00D31FB9" w:rsidP="00D31FB9">
      <w:pPr>
        <w:jc w:val="both"/>
        <w:rPr>
          <w:rFonts w:ascii="Tahoma" w:hAnsi="Tahoma" w:cs="Tahoma"/>
          <w:bCs/>
        </w:rPr>
      </w:pPr>
    </w:p>
    <w:p w:rsidR="00D31FB9" w:rsidRPr="00B53DCD" w:rsidRDefault="00D31FB9" w:rsidP="00D31FB9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B53DCD">
        <w:rPr>
          <w:rFonts w:ascii="Tahoma" w:hAnsi="Tahoma" w:cs="Tahoma"/>
          <w:b/>
          <w:bCs/>
          <w:sz w:val="24"/>
          <w:szCs w:val="24"/>
        </w:rPr>
        <w:t>Entrate in conto capitale</w:t>
      </w:r>
    </w:p>
    <w:p w:rsidR="00D31FB9" w:rsidRPr="00055B8F" w:rsidRDefault="00D31FB9" w:rsidP="00D31FB9">
      <w:pPr>
        <w:kinsoku w:val="0"/>
        <w:overflowPunct w:val="0"/>
        <w:spacing w:after="527" w:line="305" w:lineRule="exact"/>
        <w:ind w:right="216"/>
        <w:jc w:val="both"/>
        <w:textAlignment w:val="baseline"/>
        <w:rPr>
          <w:rFonts w:ascii="Tahoma" w:hAnsi="Tahoma" w:cs="Tahoma"/>
          <w:bCs/>
          <w:szCs w:val="19"/>
        </w:rPr>
      </w:pPr>
      <w:r w:rsidRPr="00055B8F">
        <w:rPr>
          <w:rFonts w:ascii="Tahoma" w:hAnsi="Tahoma" w:cs="Tahoma"/>
          <w:bCs/>
          <w:szCs w:val="19"/>
        </w:rPr>
        <w:t>Le entrate in conto capitale ammontano ad €.</w:t>
      </w:r>
      <w:r w:rsidR="00A75AEA" w:rsidRPr="00055B8F">
        <w:rPr>
          <w:rFonts w:ascii="Tahoma" w:hAnsi="Tahoma" w:cs="Tahoma"/>
          <w:bCs/>
          <w:szCs w:val="19"/>
        </w:rPr>
        <w:t xml:space="preserve"> </w:t>
      </w:r>
      <w:r w:rsidR="00C4058A" w:rsidRPr="00055B8F">
        <w:rPr>
          <w:rFonts w:ascii="Tahoma" w:hAnsi="Tahoma" w:cs="Tahoma"/>
          <w:bCs/>
          <w:szCs w:val="19"/>
        </w:rPr>
        <w:t>148</w:t>
      </w:r>
      <w:r w:rsidRPr="00055B8F">
        <w:rPr>
          <w:rFonts w:ascii="Tahoma" w:hAnsi="Tahoma" w:cs="Tahoma"/>
          <w:bCs/>
          <w:szCs w:val="19"/>
        </w:rPr>
        <w:t xml:space="preserve">.000,00 per </w:t>
      </w:r>
      <w:r w:rsidR="00A75AEA" w:rsidRPr="00055B8F">
        <w:rPr>
          <w:rFonts w:ascii="Tahoma" w:hAnsi="Tahoma" w:cs="Tahoma"/>
          <w:bCs/>
          <w:szCs w:val="19"/>
        </w:rPr>
        <w:t>l’esercizio 201</w:t>
      </w:r>
      <w:r w:rsidR="00C4058A" w:rsidRPr="00055B8F">
        <w:rPr>
          <w:rFonts w:ascii="Tahoma" w:hAnsi="Tahoma" w:cs="Tahoma"/>
          <w:bCs/>
          <w:szCs w:val="19"/>
        </w:rPr>
        <w:t>9</w:t>
      </w:r>
      <w:r w:rsidR="00A75AEA" w:rsidRPr="00055B8F">
        <w:rPr>
          <w:rFonts w:ascii="Tahoma" w:hAnsi="Tahoma" w:cs="Tahoma"/>
          <w:bCs/>
          <w:szCs w:val="19"/>
        </w:rPr>
        <w:t xml:space="preserve"> di cui euro </w:t>
      </w:r>
      <w:r w:rsidR="008A1F20" w:rsidRPr="00055B8F">
        <w:rPr>
          <w:rFonts w:ascii="Tahoma" w:hAnsi="Tahoma" w:cs="Tahoma"/>
          <w:bCs/>
          <w:szCs w:val="19"/>
        </w:rPr>
        <w:t>40</w:t>
      </w:r>
      <w:r w:rsidR="00A75AEA" w:rsidRPr="00055B8F">
        <w:rPr>
          <w:rFonts w:ascii="Tahoma" w:hAnsi="Tahoma" w:cs="Tahoma"/>
          <w:bCs/>
          <w:szCs w:val="19"/>
        </w:rPr>
        <w:t xml:space="preserve">.000,00 </w:t>
      </w:r>
      <w:r w:rsidR="008A1F20" w:rsidRPr="00055B8F">
        <w:rPr>
          <w:rFonts w:ascii="Tahoma" w:hAnsi="Tahoma" w:cs="Tahoma"/>
          <w:bCs/>
          <w:szCs w:val="19"/>
        </w:rPr>
        <w:t xml:space="preserve">derivanti da contributo statale (legge di bilancio 2019 n.145 del 30/12/2018 comma 107) erogato per mezzo della Regione Valle </w:t>
      </w:r>
      <w:proofErr w:type="gramStart"/>
      <w:r w:rsidR="008A1F20" w:rsidRPr="00055B8F">
        <w:rPr>
          <w:rFonts w:ascii="Tahoma" w:hAnsi="Tahoma" w:cs="Tahoma"/>
          <w:bCs/>
          <w:szCs w:val="19"/>
        </w:rPr>
        <w:t xml:space="preserve">d’Aosta </w:t>
      </w:r>
      <w:r w:rsidR="00A75AEA" w:rsidRPr="00055B8F">
        <w:rPr>
          <w:rFonts w:ascii="Tahoma" w:hAnsi="Tahoma" w:cs="Tahoma"/>
          <w:bCs/>
          <w:szCs w:val="19"/>
        </w:rPr>
        <w:t>”</w:t>
      </w:r>
      <w:proofErr w:type="gramEnd"/>
      <w:r w:rsidRPr="00055B8F">
        <w:rPr>
          <w:rFonts w:ascii="Tahoma" w:hAnsi="Tahoma" w:cs="Tahoma"/>
          <w:bCs/>
          <w:szCs w:val="19"/>
        </w:rPr>
        <w:t xml:space="preserve">.  Sono costituite </w:t>
      </w:r>
      <w:r w:rsidR="00A75AEA" w:rsidRPr="00055B8F">
        <w:rPr>
          <w:rFonts w:ascii="Tahoma" w:hAnsi="Tahoma" w:cs="Tahoma"/>
          <w:bCs/>
          <w:szCs w:val="19"/>
        </w:rPr>
        <w:t xml:space="preserve">inoltre </w:t>
      </w:r>
      <w:r w:rsidRPr="00055B8F">
        <w:rPr>
          <w:rFonts w:ascii="Tahoma" w:hAnsi="Tahoma" w:cs="Tahoma"/>
          <w:bCs/>
          <w:szCs w:val="19"/>
        </w:rPr>
        <w:t xml:space="preserve">dal trasferimento </w:t>
      </w:r>
      <w:proofErr w:type="spellStart"/>
      <w:r w:rsidRPr="00055B8F">
        <w:rPr>
          <w:rFonts w:ascii="Tahoma" w:hAnsi="Tahoma" w:cs="Tahoma"/>
          <w:bCs/>
          <w:szCs w:val="19"/>
        </w:rPr>
        <w:t>Bim</w:t>
      </w:r>
      <w:proofErr w:type="spellEnd"/>
      <w:r w:rsidRPr="00055B8F">
        <w:rPr>
          <w:rFonts w:ascii="Tahoma" w:hAnsi="Tahoma" w:cs="Tahoma"/>
          <w:bCs/>
          <w:szCs w:val="19"/>
        </w:rPr>
        <w:t xml:space="preserve"> di € 78.000,00 che viene utilizzato in pieno per le spese di investimento e dagli oneri di urbanizzazione pari a 25.000,</w:t>
      </w:r>
      <w:proofErr w:type="gramStart"/>
      <w:r w:rsidRPr="00055B8F">
        <w:rPr>
          <w:rFonts w:ascii="Tahoma" w:hAnsi="Tahoma" w:cs="Tahoma"/>
          <w:bCs/>
          <w:szCs w:val="19"/>
        </w:rPr>
        <w:t>00</w:t>
      </w:r>
      <w:r w:rsidR="00C4058A" w:rsidRPr="00055B8F">
        <w:rPr>
          <w:rFonts w:ascii="Tahoma" w:hAnsi="Tahoma" w:cs="Tahoma"/>
          <w:bCs/>
          <w:szCs w:val="19"/>
        </w:rPr>
        <w:t xml:space="preserve"> </w:t>
      </w:r>
      <w:r w:rsidRPr="00055B8F">
        <w:rPr>
          <w:rFonts w:ascii="Tahoma" w:hAnsi="Tahoma" w:cs="Tahoma"/>
          <w:bCs/>
          <w:szCs w:val="19"/>
        </w:rPr>
        <w:t xml:space="preserve"> stimati</w:t>
      </w:r>
      <w:proofErr w:type="gramEnd"/>
      <w:r w:rsidRPr="00055B8F">
        <w:rPr>
          <w:rFonts w:ascii="Tahoma" w:hAnsi="Tahoma" w:cs="Tahoma"/>
          <w:bCs/>
          <w:szCs w:val="19"/>
        </w:rPr>
        <w:t xml:space="preserve"> in base ai progetti presentati all’ufficio tecnico e che avranno esecuzione in questi esercizi</w:t>
      </w:r>
      <w:r w:rsidR="00C4058A" w:rsidRPr="00055B8F">
        <w:rPr>
          <w:rFonts w:ascii="Tahoma" w:hAnsi="Tahoma" w:cs="Tahoma"/>
          <w:bCs/>
          <w:szCs w:val="19"/>
        </w:rPr>
        <w:t xml:space="preserve"> e euro 5.000,00 quali </w:t>
      </w:r>
      <w:r w:rsidR="008A1F20" w:rsidRPr="00055B8F">
        <w:rPr>
          <w:rFonts w:ascii="Tahoma" w:hAnsi="Tahoma" w:cs="Tahoma"/>
          <w:bCs/>
          <w:szCs w:val="19"/>
        </w:rPr>
        <w:t>incassi vari dovuti</w:t>
      </w:r>
      <w:r w:rsidR="00055B8F">
        <w:rPr>
          <w:rFonts w:ascii="Tahoma" w:hAnsi="Tahoma" w:cs="Tahoma"/>
          <w:bCs/>
          <w:szCs w:val="19"/>
        </w:rPr>
        <w:t xml:space="preserve"> da terzi</w:t>
      </w:r>
      <w:r w:rsidR="008A1F20" w:rsidRPr="00055B8F">
        <w:rPr>
          <w:rFonts w:ascii="Tahoma" w:hAnsi="Tahoma" w:cs="Tahoma"/>
          <w:bCs/>
          <w:szCs w:val="19"/>
        </w:rPr>
        <w:t xml:space="preserve"> da destinarsi a investimenti </w:t>
      </w:r>
      <w:r w:rsidRPr="00055B8F">
        <w:rPr>
          <w:rFonts w:ascii="Tahoma" w:hAnsi="Tahoma" w:cs="Tahoma"/>
          <w:bCs/>
          <w:szCs w:val="19"/>
        </w:rPr>
        <w:t>.</w:t>
      </w:r>
      <w:r w:rsidR="00A75AEA" w:rsidRPr="00055B8F">
        <w:rPr>
          <w:rFonts w:ascii="Tahoma" w:hAnsi="Tahoma" w:cs="Tahoma"/>
          <w:bCs/>
          <w:szCs w:val="19"/>
        </w:rPr>
        <w:t xml:space="preserve"> Per gli esercizi successi si contano solo le entra </w:t>
      </w:r>
      <w:proofErr w:type="spellStart"/>
      <w:r w:rsidR="00A75AEA" w:rsidRPr="00055B8F">
        <w:rPr>
          <w:rFonts w:ascii="Tahoma" w:hAnsi="Tahoma" w:cs="Tahoma"/>
          <w:bCs/>
          <w:szCs w:val="19"/>
        </w:rPr>
        <w:t>Bim</w:t>
      </w:r>
      <w:proofErr w:type="spellEnd"/>
      <w:r w:rsidR="00A75AEA" w:rsidRPr="00055B8F">
        <w:rPr>
          <w:rFonts w:ascii="Tahoma" w:hAnsi="Tahoma" w:cs="Tahoma"/>
          <w:bCs/>
          <w:szCs w:val="19"/>
        </w:rPr>
        <w:t xml:space="preserve"> e da Oneri per lo stesso valore del 2018.</w:t>
      </w:r>
    </w:p>
    <w:p w:rsidR="003102D6" w:rsidRDefault="003102D6" w:rsidP="00D31FB9">
      <w:pPr>
        <w:kinsoku w:val="0"/>
        <w:overflowPunct w:val="0"/>
        <w:spacing w:after="527" w:line="305" w:lineRule="exact"/>
        <w:ind w:right="216"/>
        <w:jc w:val="both"/>
        <w:textAlignment w:val="baseline"/>
        <w:rPr>
          <w:rFonts w:ascii="Tahoma" w:hAnsi="Tahoma" w:cs="Tahoma"/>
          <w:bCs/>
          <w:sz w:val="19"/>
          <w:szCs w:val="19"/>
        </w:rPr>
      </w:pPr>
    </w:p>
    <w:p w:rsidR="003102D6" w:rsidRDefault="003102D6" w:rsidP="00D31FB9">
      <w:pPr>
        <w:kinsoku w:val="0"/>
        <w:overflowPunct w:val="0"/>
        <w:spacing w:after="527" w:line="305" w:lineRule="exact"/>
        <w:ind w:right="216"/>
        <w:jc w:val="both"/>
        <w:textAlignment w:val="baseline"/>
        <w:rPr>
          <w:rFonts w:ascii="Tahoma" w:hAnsi="Tahoma" w:cs="Tahoma"/>
          <w:bCs/>
          <w:sz w:val="19"/>
          <w:szCs w:val="19"/>
        </w:rPr>
      </w:pPr>
    </w:p>
    <w:p w:rsidR="003102D6" w:rsidRDefault="003102D6" w:rsidP="00D31FB9">
      <w:pPr>
        <w:kinsoku w:val="0"/>
        <w:overflowPunct w:val="0"/>
        <w:spacing w:after="527" w:line="305" w:lineRule="exact"/>
        <w:ind w:right="216"/>
        <w:jc w:val="both"/>
        <w:textAlignment w:val="baseline"/>
        <w:rPr>
          <w:rFonts w:ascii="Tahoma" w:hAnsi="Tahoma" w:cs="Tahoma"/>
          <w:bCs/>
          <w:sz w:val="19"/>
          <w:szCs w:val="19"/>
        </w:rPr>
      </w:pPr>
    </w:p>
    <w:p w:rsidR="003102D6" w:rsidRDefault="003102D6" w:rsidP="00D31FB9">
      <w:pPr>
        <w:kinsoku w:val="0"/>
        <w:overflowPunct w:val="0"/>
        <w:spacing w:after="527" w:line="305" w:lineRule="exact"/>
        <w:ind w:right="216"/>
        <w:jc w:val="both"/>
        <w:textAlignment w:val="baseline"/>
        <w:rPr>
          <w:rFonts w:ascii="Tahoma" w:hAnsi="Tahoma" w:cs="Tahoma"/>
          <w:bCs/>
          <w:sz w:val="19"/>
          <w:szCs w:val="19"/>
        </w:rPr>
      </w:pPr>
    </w:p>
    <w:p w:rsidR="003102D6" w:rsidRPr="00A5196C" w:rsidRDefault="003102D6" w:rsidP="00D31FB9">
      <w:pPr>
        <w:kinsoku w:val="0"/>
        <w:overflowPunct w:val="0"/>
        <w:spacing w:after="527" w:line="305" w:lineRule="exact"/>
        <w:ind w:right="216"/>
        <w:jc w:val="both"/>
        <w:textAlignment w:val="baseline"/>
        <w:rPr>
          <w:rFonts w:ascii="Tahoma" w:hAnsi="Tahoma" w:cs="Tahoma"/>
          <w:bCs/>
          <w:sz w:val="19"/>
          <w:szCs w:val="19"/>
        </w:rPr>
      </w:pPr>
    </w:p>
    <w:p w:rsidR="00D31FB9" w:rsidRPr="00B53DCD" w:rsidRDefault="00D31FB9" w:rsidP="00D31FB9">
      <w:pPr>
        <w:kinsoku w:val="0"/>
        <w:overflowPunct w:val="0"/>
        <w:spacing w:before="12" w:line="315" w:lineRule="exact"/>
        <w:ind w:left="144"/>
        <w:jc w:val="both"/>
        <w:textAlignment w:val="baseline"/>
        <w:rPr>
          <w:rFonts w:ascii="Tahoma" w:hAnsi="Tahoma" w:cs="Tahoma"/>
          <w:b/>
          <w:bCs/>
          <w:sz w:val="24"/>
          <w:szCs w:val="24"/>
        </w:rPr>
      </w:pPr>
      <w:r w:rsidRPr="00B53DCD">
        <w:rPr>
          <w:rFonts w:ascii="Tahoma" w:hAnsi="Tahoma" w:cs="Tahoma"/>
          <w:b/>
          <w:bCs/>
          <w:sz w:val="24"/>
          <w:szCs w:val="24"/>
        </w:rPr>
        <w:t>Spese correnti</w:t>
      </w:r>
    </w:p>
    <w:p w:rsidR="00D31FB9" w:rsidRDefault="00D31FB9" w:rsidP="00D31FB9">
      <w:pPr>
        <w:kinsoku w:val="0"/>
        <w:overflowPunct w:val="0"/>
        <w:spacing w:before="12" w:line="315" w:lineRule="exact"/>
        <w:ind w:left="144"/>
        <w:jc w:val="both"/>
        <w:textAlignment w:val="baseline"/>
        <w:rPr>
          <w:rFonts w:ascii="Tahoma" w:hAnsi="Tahoma" w:cs="Tahoma"/>
          <w:bCs/>
          <w:sz w:val="19"/>
          <w:szCs w:val="19"/>
        </w:rPr>
      </w:pPr>
      <w:r w:rsidRPr="00A5196C">
        <w:rPr>
          <w:rFonts w:ascii="Tahoma" w:hAnsi="Tahoma" w:cs="Tahoma"/>
          <w:bCs/>
          <w:sz w:val="19"/>
          <w:szCs w:val="19"/>
        </w:rPr>
        <w:t xml:space="preserve">La struttura del nuovo bilancio armonizzato della parte spesa è ripartita in missioni / programmi / titoli / </w:t>
      </w:r>
      <w:proofErr w:type="spellStart"/>
      <w:r w:rsidRPr="00A5196C">
        <w:rPr>
          <w:rFonts w:ascii="Tahoma" w:hAnsi="Tahoma" w:cs="Tahoma"/>
          <w:bCs/>
          <w:sz w:val="19"/>
          <w:szCs w:val="19"/>
        </w:rPr>
        <w:t>macroaggregati</w:t>
      </w:r>
      <w:proofErr w:type="spellEnd"/>
      <w:r w:rsidRPr="00A5196C">
        <w:rPr>
          <w:rFonts w:ascii="Tahoma" w:hAnsi="Tahoma" w:cs="Tahoma"/>
          <w:bCs/>
          <w:sz w:val="19"/>
          <w:szCs w:val="19"/>
        </w:rPr>
        <w:t xml:space="preserve"> dei quali si ripor</w:t>
      </w:r>
      <w:r w:rsidR="003102D6">
        <w:rPr>
          <w:rFonts w:ascii="Tahoma" w:hAnsi="Tahoma" w:cs="Tahoma"/>
          <w:bCs/>
          <w:sz w:val="19"/>
          <w:szCs w:val="19"/>
        </w:rPr>
        <w:t>ta lo sviluppo nel triennio 2018</w:t>
      </w:r>
      <w:r w:rsidRPr="00A5196C">
        <w:rPr>
          <w:rFonts w:ascii="Tahoma" w:hAnsi="Tahoma" w:cs="Tahoma"/>
          <w:bCs/>
          <w:sz w:val="19"/>
          <w:szCs w:val="19"/>
        </w:rPr>
        <w:t>/20</w:t>
      </w:r>
      <w:r w:rsidR="003102D6">
        <w:rPr>
          <w:rFonts w:ascii="Tahoma" w:hAnsi="Tahoma" w:cs="Tahoma"/>
          <w:bCs/>
          <w:sz w:val="19"/>
          <w:szCs w:val="19"/>
        </w:rPr>
        <w:t>20</w:t>
      </w:r>
    </w:p>
    <w:p w:rsidR="00D31FB9" w:rsidRPr="00A5196C" w:rsidRDefault="00D31FB9" w:rsidP="00D31FB9">
      <w:pPr>
        <w:kinsoku w:val="0"/>
        <w:overflowPunct w:val="0"/>
        <w:spacing w:before="12" w:line="315" w:lineRule="exact"/>
        <w:ind w:left="144"/>
        <w:jc w:val="both"/>
        <w:textAlignment w:val="baseline"/>
        <w:rPr>
          <w:rFonts w:ascii="Tahoma" w:hAnsi="Tahoma" w:cs="Tahoma"/>
          <w:bCs/>
          <w:sz w:val="24"/>
          <w:szCs w:val="24"/>
        </w:rPr>
      </w:pPr>
    </w:p>
    <w:tbl>
      <w:tblPr>
        <w:tblW w:w="98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0"/>
        <w:gridCol w:w="1860"/>
        <w:gridCol w:w="1860"/>
        <w:gridCol w:w="1860"/>
        <w:gridCol w:w="1860"/>
      </w:tblGrid>
      <w:tr w:rsidR="00D31FB9" w:rsidRPr="004553FB" w:rsidTr="00243982">
        <w:trPr>
          <w:trHeight w:hRule="exact" w:val="330"/>
        </w:trPr>
        <w:tc>
          <w:tcPr>
            <w:tcW w:w="98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6500"/>
            <w:vAlign w:val="center"/>
            <w:hideMark/>
          </w:tcPr>
          <w:p w:rsidR="00D31FB9" w:rsidRPr="00313C6E" w:rsidRDefault="00D31FB9" w:rsidP="00243982">
            <w:pPr>
              <w:jc w:val="both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313C6E"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  <w:t>Spese correnti per macro aggregato</w:t>
            </w:r>
          </w:p>
        </w:tc>
      </w:tr>
      <w:tr w:rsidR="008A1F20" w:rsidRPr="004553FB" w:rsidTr="00243982">
        <w:trPr>
          <w:trHeight w:hRule="exact" w:val="300"/>
        </w:trPr>
        <w:tc>
          <w:tcPr>
            <w:tcW w:w="2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1F20" w:rsidRPr="00313C6E" w:rsidRDefault="008A1F20" w:rsidP="008A1F20">
            <w:pPr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A1F20" w:rsidRPr="00313C6E" w:rsidRDefault="008A1F20" w:rsidP="008A1F2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Previsione 2018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1F20" w:rsidRPr="00313C6E" w:rsidRDefault="008A1F20" w:rsidP="008A1F2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Previsione 2019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1F20" w:rsidRPr="00313C6E" w:rsidRDefault="008A1F20" w:rsidP="008A1F2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Previsione 2020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1F20" w:rsidRPr="00313C6E" w:rsidRDefault="008A1F20" w:rsidP="008A1F2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Previsione 2021</w:t>
            </w:r>
          </w:p>
        </w:tc>
      </w:tr>
      <w:tr w:rsidR="008A1F20" w:rsidRPr="004553FB" w:rsidTr="00243982">
        <w:trPr>
          <w:trHeight w:val="315"/>
        </w:trPr>
        <w:tc>
          <w:tcPr>
            <w:tcW w:w="2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1F20" w:rsidRPr="00313C6E" w:rsidRDefault="008A1F20" w:rsidP="008A1F20">
            <w:pPr>
              <w:jc w:val="both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1F20" w:rsidRPr="00313C6E" w:rsidRDefault="008A1F20" w:rsidP="008A1F20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1F20" w:rsidRPr="00313C6E" w:rsidRDefault="008A1F20" w:rsidP="008A1F20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1F20" w:rsidRPr="00313C6E" w:rsidRDefault="008A1F20" w:rsidP="008A1F20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1F20" w:rsidRPr="00313C6E" w:rsidRDefault="008A1F20" w:rsidP="008A1F20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A1F20" w:rsidRPr="004553FB" w:rsidTr="00243982">
        <w:trPr>
          <w:trHeight w:hRule="exact" w:val="49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 w:rsidRPr="00313C6E">
              <w:rPr>
                <w:rFonts w:ascii="Helvetica" w:hAnsi="Helvetica" w:cs="Helvetica"/>
                <w:color w:val="000000"/>
                <w:sz w:val="18"/>
                <w:szCs w:val="18"/>
              </w:rPr>
              <w:t>Redditi da lavoro dipendente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492.700,00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472.700,00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471.000,00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471.000,00</w:t>
            </w:r>
          </w:p>
        </w:tc>
      </w:tr>
      <w:tr w:rsidR="008A1F20" w:rsidRPr="004553FB" w:rsidTr="00243982">
        <w:trPr>
          <w:trHeight w:hRule="exact" w:val="49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 w:rsidRPr="00313C6E">
              <w:rPr>
                <w:rFonts w:ascii="Helvetica" w:hAnsi="Helvetica" w:cs="Helvetica"/>
                <w:color w:val="000000"/>
                <w:sz w:val="18"/>
                <w:szCs w:val="18"/>
              </w:rPr>
              <w:t>Imposte e tasse a carico dell'Ente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48.450,00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57.900,00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54.000,00</w:t>
            </w:r>
          </w:p>
        </w:tc>
      </w:tr>
      <w:tr w:rsidR="008A1F20" w:rsidRPr="004553FB" w:rsidTr="00243982">
        <w:trPr>
          <w:trHeight w:hRule="exact" w:val="31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 w:rsidRPr="00313C6E">
              <w:rPr>
                <w:rFonts w:ascii="Helvetica" w:hAnsi="Helvetica" w:cs="Helvetica"/>
                <w:color w:val="000000"/>
                <w:sz w:val="18"/>
                <w:szCs w:val="18"/>
              </w:rPr>
              <w:t>Acquisto di beni e servizi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642.380,00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726.334,35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729.940,00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732.440,00</w:t>
            </w:r>
          </w:p>
        </w:tc>
      </w:tr>
      <w:tr w:rsidR="008A1F20" w:rsidRPr="004553FB" w:rsidTr="00243982">
        <w:trPr>
          <w:trHeight w:hRule="exact" w:val="31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 w:rsidRPr="00313C6E">
              <w:rPr>
                <w:rFonts w:ascii="Helvetica" w:hAnsi="Helvetica" w:cs="Helvetica"/>
                <w:color w:val="000000"/>
                <w:sz w:val="18"/>
                <w:szCs w:val="18"/>
              </w:rPr>
              <w:t>Trasferimenti correnti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627.920,00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646.310,00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638.950,00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638.950,00</w:t>
            </w:r>
          </w:p>
        </w:tc>
      </w:tr>
      <w:tr w:rsidR="008A1F20" w:rsidRPr="004553FB" w:rsidTr="00243982">
        <w:trPr>
          <w:trHeight w:hRule="exact" w:val="31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 w:rsidRPr="00313C6E">
              <w:rPr>
                <w:rFonts w:ascii="Helvetica" w:hAnsi="Helvetica" w:cs="Helvetica"/>
                <w:color w:val="000000"/>
                <w:sz w:val="18"/>
                <w:szCs w:val="18"/>
              </w:rPr>
              <w:t>Interessi passivi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1.700,00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950,00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200,00</w:t>
            </w:r>
          </w:p>
        </w:tc>
      </w:tr>
      <w:tr w:rsidR="008A1F20" w:rsidRPr="004553FB" w:rsidTr="00243982">
        <w:trPr>
          <w:trHeight w:val="49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proofErr w:type="gramStart"/>
            <w:r w:rsidRPr="00313C6E">
              <w:rPr>
                <w:rFonts w:ascii="Helvetica" w:hAnsi="Helvetica" w:cs="Helvetica"/>
                <w:color w:val="000000"/>
                <w:sz w:val="18"/>
                <w:szCs w:val="18"/>
              </w:rPr>
              <w:t>altre</w:t>
            </w:r>
            <w:proofErr w:type="gramEnd"/>
            <w:r w:rsidRPr="00313C6E">
              <w:rPr>
                <w:rFonts w:ascii="Helvetica" w:hAnsi="Helvetica" w:cs="Helvetica"/>
                <w:color w:val="000000"/>
                <w:sz w:val="18"/>
                <w:szCs w:val="18"/>
              </w:rPr>
              <w:t xml:space="preserve"> spese per redditi da capitale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</w:tr>
      <w:tr w:rsidR="008A1F20" w:rsidRPr="004553FB" w:rsidTr="00243982">
        <w:trPr>
          <w:trHeight w:hRule="exact" w:val="49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 w:rsidRPr="00313C6E">
              <w:rPr>
                <w:rFonts w:ascii="Helvetica" w:hAnsi="Helvetica" w:cs="Helvetica"/>
                <w:color w:val="000000"/>
                <w:sz w:val="18"/>
                <w:szCs w:val="18"/>
              </w:rPr>
              <w:t>Rimborsi e poste correttive delle entrate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24.000,00</w:t>
            </w:r>
          </w:p>
        </w:tc>
      </w:tr>
      <w:tr w:rsidR="008A1F20" w:rsidRPr="004553FB" w:rsidTr="00243982">
        <w:trPr>
          <w:trHeight w:hRule="exact" w:val="31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 w:rsidRPr="00313C6E">
              <w:rPr>
                <w:rFonts w:ascii="Helvetica" w:hAnsi="Helvetica" w:cs="Helvetica"/>
                <w:color w:val="000000"/>
                <w:sz w:val="18"/>
                <w:szCs w:val="18"/>
              </w:rPr>
              <w:t>Altre spese correnti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32.600,00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64.563,65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71.069,00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1F20" w:rsidRPr="00313C6E" w:rsidRDefault="008A1F20" w:rsidP="008A1F20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71.069,00</w:t>
            </w:r>
          </w:p>
        </w:tc>
      </w:tr>
      <w:tr w:rsidR="008A1F20" w:rsidRPr="004553FB" w:rsidTr="00107314">
        <w:trPr>
          <w:trHeight w:hRule="exact" w:val="315"/>
        </w:trPr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A1F20" w:rsidRPr="00313C6E" w:rsidRDefault="008A1F20" w:rsidP="008A1F20">
            <w:pPr>
              <w:jc w:val="right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313C6E">
              <w:rPr>
                <w:rFonts w:ascii="Tahoma" w:hAnsi="Tahoma" w:cs="Tahoma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:rsidR="008A1F20" w:rsidRPr="00313C6E" w:rsidRDefault="008A1F20" w:rsidP="008A1F2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1.871.750,00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:rsidR="008A1F20" w:rsidRPr="00313C6E" w:rsidRDefault="008A1F20" w:rsidP="008A1F2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1.992.758,00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:rsidR="008A1F20" w:rsidRPr="00313C6E" w:rsidRDefault="008A1F20" w:rsidP="008A1F2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1.989.759,00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:rsidR="008A1F20" w:rsidRPr="00313C6E" w:rsidRDefault="008A1F20" w:rsidP="008A1F2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1.992.259,00</w:t>
            </w:r>
          </w:p>
        </w:tc>
      </w:tr>
    </w:tbl>
    <w:p w:rsidR="00D31FB9" w:rsidRDefault="00D31FB9" w:rsidP="00D31FB9">
      <w:pPr>
        <w:kinsoku w:val="0"/>
        <w:overflowPunct w:val="0"/>
        <w:spacing w:after="576" w:line="20" w:lineRule="exact"/>
        <w:ind w:left="62" w:right="230"/>
        <w:jc w:val="right"/>
        <w:textAlignment w:val="baseline"/>
        <w:rPr>
          <w:sz w:val="24"/>
          <w:szCs w:val="24"/>
        </w:rPr>
      </w:pPr>
    </w:p>
    <w:p w:rsidR="00D31FB9" w:rsidRPr="00A5196C" w:rsidRDefault="00D31FB9" w:rsidP="00D31FB9">
      <w:pPr>
        <w:kinsoku w:val="0"/>
        <w:overflowPunct w:val="0"/>
        <w:spacing w:before="6" w:line="306" w:lineRule="exact"/>
        <w:ind w:left="144" w:right="288"/>
        <w:jc w:val="both"/>
        <w:textAlignment w:val="baseline"/>
        <w:rPr>
          <w:rFonts w:ascii="Tahoma" w:hAnsi="Tahoma" w:cs="Tahoma"/>
          <w:bCs/>
          <w:sz w:val="19"/>
          <w:szCs w:val="19"/>
        </w:rPr>
      </w:pPr>
      <w:r w:rsidRPr="00A5196C">
        <w:rPr>
          <w:rFonts w:ascii="Tahoma" w:hAnsi="Tahoma" w:cs="Tahoma"/>
          <w:bCs/>
          <w:sz w:val="19"/>
          <w:szCs w:val="19"/>
        </w:rPr>
        <w:t>A livello complessivo la sp</w:t>
      </w:r>
      <w:r w:rsidR="001056AF">
        <w:rPr>
          <w:rFonts w:ascii="Tahoma" w:hAnsi="Tahoma" w:cs="Tahoma"/>
          <w:bCs/>
          <w:sz w:val="19"/>
          <w:szCs w:val="19"/>
        </w:rPr>
        <w:t>esa corrente dell’esercizio 201</w:t>
      </w:r>
      <w:r w:rsidR="004A1BBE">
        <w:rPr>
          <w:rFonts w:ascii="Tahoma" w:hAnsi="Tahoma" w:cs="Tahoma"/>
          <w:bCs/>
          <w:sz w:val="19"/>
          <w:szCs w:val="19"/>
        </w:rPr>
        <w:t>9</w:t>
      </w:r>
      <w:r w:rsidRPr="00A5196C">
        <w:rPr>
          <w:rFonts w:ascii="Tahoma" w:hAnsi="Tahoma" w:cs="Tahoma"/>
          <w:bCs/>
          <w:sz w:val="19"/>
          <w:szCs w:val="19"/>
        </w:rPr>
        <w:t xml:space="preserve"> ammonta ad €. </w:t>
      </w:r>
      <w:r w:rsidR="004A1BBE">
        <w:rPr>
          <w:rFonts w:ascii="Tahoma" w:hAnsi="Tahoma" w:cs="Tahoma"/>
          <w:bCs/>
          <w:sz w:val="19"/>
          <w:szCs w:val="19"/>
        </w:rPr>
        <w:t>1.992,758,00</w:t>
      </w:r>
      <w:r w:rsidRPr="00A5196C">
        <w:rPr>
          <w:rFonts w:ascii="Tahoma" w:hAnsi="Tahoma" w:cs="Tahoma"/>
          <w:bCs/>
          <w:sz w:val="19"/>
          <w:szCs w:val="19"/>
        </w:rPr>
        <w:t xml:space="preserve"> a fronte della spe</w:t>
      </w:r>
      <w:r w:rsidR="009E538E">
        <w:rPr>
          <w:rFonts w:ascii="Tahoma" w:hAnsi="Tahoma" w:cs="Tahoma"/>
          <w:bCs/>
          <w:sz w:val="19"/>
          <w:szCs w:val="19"/>
        </w:rPr>
        <w:t>sa prevista nel 2018</w:t>
      </w:r>
      <w:r w:rsidRPr="00A5196C">
        <w:rPr>
          <w:rFonts w:ascii="Tahoma" w:hAnsi="Tahoma" w:cs="Tahoma"/>
          <w:bCs/>
          <w:sz w:val="19"/>
          <w:szCs w:val="19"/>
        </w:rPr>
        <w:t xml:space="preserve"> di €.</w:t>
      </w:r>
      <w:r w:rsidR="009E538E">
        <w:rPr>
          <w:rFonts w:ascii="Tahoma" w:hAnsi="Tahoma" w:cs="Tahoma"/>
          <w:bCs/>
          <w:sz w:val="19"/>
          <w:szCs w:val="19"/>
        </w:rPr>
        <w:t xml:space="preserve"> 1.871.750,00</w:t>
      </w:r>
      <w:r w:rsidRPr="00A5196C">
        <w:rPr>
          <w:rFonts w:ascii="Tahoma" w:hAnsi="Tahoma" w:cs="Tahoma"/>
          <w:bCs/>
          <w:sz w:val="19"/>
          <w:szCs w:val="19"/>
        </w:rPr>
        <w:t xml:space="preserve"> </w:t>
      </w:r>
      <w:r>
        <w:rPr>
          <w:rFonts w:ascii="Tahoma" w:hAnsi="Tahoma" w:cs="Tahoma"/>
          <w:bCs/>
          <w:sz w:val="19"/>
          <w:szCs w:val="19"/>
        </w:rPr>
        <w:t xml:space="preserve"> </w:t>
      </w:r>
      <w:r w:rsidR="001056AF">
        <w:rPr>
          <w:rFonts w:ascii="Tahoma" w:hAnsi="Tahoma" w:cs="Tahoma"/>
          <w:bCs/>
          <w:sz w:val="19"/>
          <w:szCs w:val="19"/>
        </w:rPr>
        <w:t>.</w:t>
      </w:r>
    </w:p>
    <w:p w:rsidR="00D31FB9" w:rsidRPr="00A5196C" w:rsidRDefault="00D31FB9" w:rsidP="00D31FB9">
      <w:pPr>
        <w:kinsoku w:val="0"/>
        <w:overflowPunct w:val="0"/>
        <w:spacing w:before="6" w:line="306" w:lineRule="exact"/>
        <w:ind w:left="144" w:right="288"/>
        <w:jc w:val="both"/>
        <w:textAlignment w:val="baseline"/>
        <w:rPr>
          <w:rFonts w:ascii="Tahoma" w:hAnsi="Tahoma" w:cs="Tahoma"/>
          <w:bCs/>
          <w:sz w:val="21"/>
          <w:szCs w:val="21"/>
        </w:rPr>
      </w:pPr>
      <w:r w:rsidRPr="00A5196C">
        <w:rPr>
          <w:rFonts w:ascii="Tahoma" w:hAnsi="Tahoma" w:cs="Tahoma"/>
          <w:bCs/>
          <w:sz w:val="21"/>
          <w:szCs w:val="21"/>
        </w:rPr>
        <w:t>Le voci relative al Fondo Crediti di Dubbia Esigibilità ed al fondo contenzioso meritano una disamina più analitica.</w:t>
      </w:r>
    </w:p>
    <w:p w:rsidR="00D31FB9" w:rsidRPr="00A5196C" w:rsidRDefault="00D31FB9" w:rsidP="00D31FB9">
      <w:pPr>
        <w:kinsoku w:val="0"/>
        <w:overflowPunct w:val="0"/>
        <w:spacing w:before="333" w:line="315" w:lineRule="exact"/>
        <w:ind w:left="216"/>
        <w:jc w:val="both"/>
        <w:textAlignment w:val="baseline"/>
        <w:rPr>
          <w:rFonts w:ascii="Tahoma" w:hAnsi="Tahoma" w:cs="Tahoma"/>
          <w:bCs/>
          <w:sz w:val="24"/>
          <w:szCs w:val="24"/>
        </w:rPr>
      </w:pPr>
      <w:r w:rsidRPr="00A5196C">
        <w:rPr>
          <w:rFonts w:ascii="Tahoma" w:hAnsi="Tahoma" w:cs="Tahoma"/>
          <w:bCs/>
          <w:sz w:val="24"/>
          <w:szCs w:val="24"/>
        </w:rPr>
        <w:t xml:space="preserve">Fondo crediti di dubbia </w:t>
      </w:r>
      <w:proofErr w:type="spellStart"/>
      <w:r w:rsidRPr="00A5196C">
        <w:rPr>
          <w:rFonts w:ascii="Tahoma" w:hAnsi="Tahoma" w:cs="Tahoma"/>
          <w:bCs/>
          <w:sz w:val="24"/>
          <w:szCs w:val="24"/>
        </w:rPr>
        <w:t>esigibilita’</w:t>
      </w:r>
      <w:proofErr w:type="spellEnd"/>
      <w:r w:rsidRPr="00A5196C">
        <w:rPr>
          <w:rFonts w:ascii="Tahoma" w:hAnsi="Tahoma" w:cs="Tahoma"/>
          <w:bCs/>
          <w:sz w:val="24"/>
          <w:szCs w:val="24"/>
        </w:rPr>
        <w:t xml:space="preserve"> (FCDE)</w:t>
      </w:r>
    </w:p>
    <w:p w:rsidR="00D31FB9" w:rsidRPr="00A5196C" w:rsidRDefault="00D31FB9" w:rsidP="00D31FB9">
      <w:pPr>
        <w:kinsoku w:val="0"/>
        <w:overflowPunct w:val="0"/>
        <w:spacing w:line="305" w:lineRule="exact"/>
        <w:ind w:right="216" w:firstLine="216"/>
        <w:jc w:val="both"/>
        <w:textAlignment w:val="baseline"/>
        <w:rPr>
          <w:rFonts w:ascii="Tahoma" w:hAnsi="Tahoma" w:cs="Tahoma"/>
          <w:bCs/>
          <w:sz w:val="19"/>
          <w:szCs w:val="19"/>
        </w:rPr>
      </w:pPr>
      <w:proofErr w:type="gramStart"/>
      <w:r w:rsidRPr="00A5196C">
        <w:rPr>
          <w:rFonts w:ascii="Tahoma" w:hAnsi="Tahoma" w:cs="Tahoma"/>
          <w:bCs/>
          <w:sz w:val="19"/>
          <w:szCs w:val="19"/>
        </w:rPr>
        <w:t>l</w:t>
      </w:r>
      <w:proofErr w:type="gramEnd"/>
      <w:r w:rsidRPr="00A5196C">
        <w:rPr>
          <w:rFonts w:ascii="Tahoma" w:hAnsi="Tahoma" w:cs="Tahoma"/>
          <w:bCs/>
          <w:sz w:val="19"/>
          <w:szCs w:val="19"/>
        </w:rPr>
        <w:t xml:space="preserve"> nuovo sistema contabile armonizzato prevede la costituzione obbligatoria di un Fondo Crediti di Dubbia Esigibilità (FCDE) destinato a coprire l’eventuale mancata riscossione di entrate incerte e di dubbia riscossione.</w:t>
      </w:r>
    </w:p>
    <w:p w:rsidR="00D31FB9" w:rsidRPr="00A5196C" w:rsidRDefault="00D31FB9" w:rsidP="00D31FB9">
      <w:pPr>
        <w:kinsoku w:val="0"/>
        <w:overflowPunct w:val="0"/>
        <w:spacing w:line="306" w:lineRule="exact"/>
        <w:ind w:left="216" w:right="216"/>
        <w:jc w:val="both"/>
        <w:textAlignment w:val="baseline"/>
        <w:rPr>
          <w:rFonts w:ascii="Tahoma" w:hAnsi="Tahoma" w:cs="Tahoma"/>
          <w:bCs/>
          <w:sz w:val="19"/>
          <w:szCs w:val="19"/>
        </w:rPr>
      </w:pPr>
      <w:r w:rsidRPr="00A5196C">
        <w:rPr>
          <w:rFonts w:ascii="Tahoma" w:hAnsi="Tahoma" w:cs="Tahoma"/>
          <w:bCs/>
          <w:sz w:val="19"/>
          <w:szCs w:val="19"/>
        </w:rPr>
        <w:t xml:space="preserve">Il Comune di </w:t>
      </w:r>
      <w:r>
        <w:rPr>
          <w:rFonts w:ascii="Tahoma" w:hAnsi="Tahoma" w:cs="Tahoma"/>
          <w:bCs/>
          <w:sz w:val="19"/>
          <w:szCs w:val="19"/>
        </w:rPr>
        <w:t>Antey Saint André</w:t>
      </w:r>
      <w:r w:rsidRPr="00A5196C">
        <w:rPr>
          <w:rFonts w:ascii="Tahoma" w:hAnsi="Tahoma" w:cs="Tahoma"/>
          <w:bCs/>
          <w:sz w:val="19"/>
          <w:szCs w:val="19"/>
        </w:rPr>
        <w:t xml:space="preserve">, ha previsto la costituzione di un fondo alla copertura di crediti con potenziali sofferenze relativi prevalentemente al recupero evasione tributaria e alle entrate patrimoniali ed </w:t>
      </w:r>
      <w:proofErr w:type="spellStart"/>
      <w:r w:rsidRPr="00A5196C">
        <w:rPr>
          <w:rFonts w:ascii="Tahoma" w:hAnsi="Tahoma" w:cs="Tahoma"/>
          <w:bCs/>
          <w:sz w:val="19"/>
          <w:szCs w:val="19"/>
        </w:rPr>
        <w:t>extratributarie</w:t>
      </w:r>
      <w:proofErr w:type="spellEnd"/>
      <w:r w:rsidRPr="00A5196C">
        <w:rPr>
          <w:rFonts w:ascii="Tahoma" w:hAnsi="Tahoma" w:cs="Tahoma"/>
          <w:bCs/>
          <w:sz w:val="19"/>
          <w:szCs w:val="19"/>
        </w:rPr>
        <w:t xml:space="preserve">. </w:t>
      </w:r>
    </w:p>
    <w:p w:rsidR="00D31FB9" w:rsidRPr="00A5196C" w:rsidRDefault="00D31FB9" w:rsidP="00D31FB9">
      <w:pPr>
        <w:kinsoku w:val="0"/>
        <w:overflowPunct w:val="0"/>
        <w:spacing w:line="307" w:lineRule="exact"/>
        <w:ind w:left="216" w:right="216"/>
        <w:jc w:val="both"/>
        <w:textAlignment w:val="baseline"/>
        <w:rPr>
          <w:rFonts w:ascii="Tahoma" w:hAnsi="Tahoma" w:cs="Tahoma"/>
          <w:bCs/>
          <w:sz w:val="19"/>
          <w:szCs w:val="19"/>
        </w:rPr>
      </w:pPr>
      <w:r w:rsidRPr="00A5196C">
        <w:rPr>
          <w:rFonts w:ascii="Tahoma" w:hAnsi="Tahoma" w:cs="Tahoma"/>
          <w:bCs/>
          <w:sz w:val="19"/>
          <w:szCs w:val="19"/>
        </w:rPr>
        <w:t>Il FCDE è stato determinato in considerazione della dimensione degli stanziamenti relativi ai crediti previsti nell’esercizio, della loro natura e del loro andamento negli ultimi cinque esercizi precedenti (media del rapporto tra incassi e accertamenti per ciascuna tipologia di entrata).</w:t>
      </w:r>
    </w:p>
    <w:p w:rsidR="00D31FB9" w:rsidRPr="00A5196C" w:rsidRDefault="00D31FB9" w:rsidP="00D31FB9">
      <w:pPr>
        <w:kinsoku w:val="0"/>
        <w:overflowPunct w:val="0"/>
        <w:spacing w:line="306" w:lineRule="exact"/>
        <w:ind w:left="216" w:right="216"/>
        <w:jc w:val="both"/>
        <w:textAlignment w:val="baseline"/>
        <w:rPr>
          <w:rFonts w:ascii="Tahoma" w:hAnsi="Tahoma" w:cs="Tahoma"/>
          <w:bCs/>
          <w:sz w:val="19"/>
          <w:szCs w:val="19"/>
        </w:rPr>
      </w:pPr>
      <w:r w:rsidRPr="00A5196C">
        <w:rPr>
          <w:rFonts w:ascii="Tahoma" w:hAnsi="Tahoma" w:cs="Tahoma"/>
          <w:bCs/>
          <w:sz w:val="19"/>
          <w:szCs w:val="19"/>
        </w:rPr>
        <w:t>Sono state individuate le entr</w:t>
      </w:r>
      <w:r w:rsidR="009A12BD">
        <w:rPr>
          <w:rFonts w:ascii="Tahoma" w:hAnsi="Tahoma" w:cs="Tahoma"/>
          <w:bCs/>
          <w:sz w:val="19"/>
          <w:szCs w:val="19"/>
        </w:rPr>
        <w:t xml:space="preserve">ate previste a </w:t>
      </w:r>
      <w:r w:rsidRPr="00A5196C">
        <w:rPr>
          <w:rFonts w:ascii="Tahoma" w:hAnsi="Tahoma" w:cs="Tahoma"/>
          <w:bCs/>
          <w:sz w:val="19"/>
          <w:szCs w:val="19"/>
        </w:rPr>
        <w:t>bilancio che possono dare luogo a crediti di dubbia e difficile esazione.</w:t>
      </w:r>
    </w:p>
    <w:p w:rsidR="00D31FB9" w:rsidRPr="00A5196C" w:rsidRDefault="00D31FB9" w:rsidP="00D31FB9">
      <w:pPr>
        <w:kinsoku w:val="0"/>
        <w:overflowPunct w:val="0"/>
        <w:spacing w:line="299" w:lineRule="exact"/>
        <w:ind w:left="216" w:right="216"/>
        <w:jc w:val="both"/>
        <w:textAlignment w:val="baseline"/>
        <w:rPr>
          <w:rFonts w:ascii="Tahoma" w:hAnsi="Tahoma" w:cs="Tahoma"/>
          <w:bCs/>
          <w:sz w:val="19"/>
          <w:szCs w:val="19"/>
        </w:rPr>
      </w:pPr>
      <w:r w:rsidRPr="00A5196C">
        <w:rPr>
          <w:rFonts w:ascii="Tahoma" w:hAnsi="Tahoma" w:cs="Tahoma"/>
          <w:bCs/>
          <w:sz w:val="19"/>
          <w:szCs w:val="19"/>
        </w:rPr>
        <w:t>Non sono state considerate nel calcolo del FCDE le entrate relative a:</w:t>
      </w:r>
    </w:p>
    <w:p w:rsidR="00D31FB9" w:rsidRPr="00A5196C" w:rsidRDefault="00D31FB9" w:rsidP="00D31FB9">
      <w:pPr>
        <w:kinsoku w:val="0"/>
        <w:overflowPunct w:val="0"/>
        <w:spacing w:line="299" w:lineRule="exact"/>
        <w:ind w:left="216" w:right="216"/>
        <w:jc w:val="both"/>
        <w:textAlignment w:val="baseline"/>
        <w:rPr>
          <w:rFonts w:ascii="Tahoma" w:hAnsi="Tahoma" w:cs="Tahoma"/>
          <w:bCs/>
          <w:sz w:val="19"/>
          <w:szCs w:val="19"/>
        </w:rPr>
      </w:pPr>
      <w:proofErr w:type="gramStart"/>
      <w:r w:rsidRPr="00A5196C">
        <w:rPr>
          <w:rFonts w:ascii="Tahoma" w:hAnsi="Tahoma" w:cs="Tahoma"/>
          <w:bCs/>
          <w:sz w:val="19"/>
          <w:szCs w:val="19"/>
        </w:rPr>
        <w:t>imposta</w:t>
      </w:r>
      <w:proofErr w:type="gramEnd"/>
      <w:r w:rsidRPr="00A5196C">
        <w:rPr>
          <w:rFonts w:ascii="Tahoma" w:hAnsi="Tahoma" w:cs="Tahoma"/>
          <w:bCs/>
          <w:sz w:val="19"/>
          <w:szCs w:val="19"/>
        </w:rPr>
        <w:t xml:space="preserve"> comunale di pubblicità – in quanto gestita in </w:t>
      </w:r>
      <w:r>
        <w:rPr>
          <w:rFonts w:ascii="Tahoma" w:hAnsi="Tahoma" w:cs="Tahoma"/>
          <w:bCs/>
          <w:sz w:val="19"/>
          <w:szCs w:val="19"/>
        </w:rPr>
        <w:t>concessione con la Maggioli Tributi Spa e genera per l’Ente un gettito fisso.</w:t>
      </w:r>
    </w:p>
    <w:p w:rsidR="00D31FB9" w:rsidRPr="00A5196C" w:rsidRDefault="00D31FB9" w:rsidP="00D31FB9">
      <w:pPr>
        <w:kinsoku w:val="0"/>
        <w:overflowPunct w:val="0"/>
        <w:spacing w:line="299" w:lineRule="exact"/>
        <w:ind w:left="216" w:right="216"/>
        <w:jc w:val="both"/>
        <w:textAlignment w:val="baseline"/>
        <w:rPr>
          <w:rFonts w:ascii="Tahoma" w:hAnsi="Tahoma" w:cs="Tahoma"/>
          <w:bCs/>
          <w:sz w:val="19"/>
          <w:szCs w:val="19"/>
        </w:rPr>
      </w:pPr>
      <w:proofErr w:type="gramStart"/>
      <w:r w:rsidRPr="00A5196C">
        <w:rPr>
          <w:rFonts w:ascii="Tahoma" w:hAnsi="Tahoma" w:cs="Tahoma"/>
          <w:bCs/>
          <w:sz w:val="19"/>
          <w:szCs w:val="19"/>
        </w:rPr>
        <w:t>imposta</w:t>
      </w:r>
      <w:proofErr w:type="gramEnd"/>
      <w:r w:rsidRPr="00A5196C">
        <w:rPr>
          <w:rFonts w:ascii="Tahoma" w:hAnsi="Tahoma" w:cs="Tahoma"/>
          <w:bCs/>
          <w:sz w:val="19"/>
          <w:szCs w:val="19"/>
        </w:rPr>
        <w:t xml:space="preserve"> di soggiorno – </w:t>
      </w:r>
      <w:r w:rsidR="00A6182A">
        <w:rPr>
          <w:rFonts w:ascii="Tahoma" w:hAnsi="Tahoma" w:cs="Tahoma"/>
          <w:bCs/>
          <w:sz w:val="19"/>
          <w:szCs w:val="19"/>
        </w:rPr>
        <w:t>in quanto in autoliquidazione e non definibile</w:t>
      </w:r>
    </w:p>
    <w:p w:rsidR="00D31FB9" w:rsidRPr="00A5196C" w:rsidRDefault="00D31FB9" w:rsidP="00D31FB9">
      <w:pPr>
        <w:kinsoku w:val="0"/>
        <w:overflowPunct w:val="0"/>
        <w:spacing w:line="299" w:lineRule="exact"/>
        <w:ind w:left="216" w:right="216"/>
        <w:jc w:val="both"/>
        <w:textAlignment w:val="baseline"/>
        <w:rPr>
          <w:rFonts w:ascii="Tahoma" w:hAnsi="Tahoma" w:cs="Tahoma"/>
          <w:bCs/>
          <w:sz w:val="19"/>
          <w:szCs w:val="19"/>
        </w:rPr>
      </w:pPr>
      <w:proofErr w:type="gramStart"/>
      <w:r>
        <w:rPr>
          <w:rFonts w:ascii="Tahoma" w:hAnsi="Tahoma" w:cs="Tahoma"/>
          <w:bCs/>
          <w:sz w:val="19"/>
          <w:szCs w:val="19"/>
        </w:rPr>
        <w:t>si</w:t>
      </w:r>
      <w:proofErr w:type="gramEnd"/>
      <w:r>
        <w:rPr>
          <w:rFonts w:ascii="Tahoma" w:hAnsi="Tahoma" w:cs="Tahoma"/>
          <w:bCs/>
          <w:sz w:val="19"/>
          <w:szCs w:val="19"/>
        </w:rPr>
        <w:t xml:space="preserve"> è tenuto conto nel calcolo i tributi più soggetti ad evasione quali la TARSU e ed i proventi dal servizio idrico integrato.</w:t>
      </w:r>
    </w:p>
    <w:p w:rsidR="00D31FB9" w:rsidRPr="00A5196C" w:rsidRDefault="009A12BD" w:rsidP="00D31FB9">
      <w:pPr>
        <w:kinsoku w:val="0"/>
        <w:overflowPunct w:val="0"/>
        <w:spacing w:line="299" w:lineRule="exact"/>
        <w:ind w:left="216" w:right="216"/>
        <w:jc w:val="both"/>
        <w:textAlignment w:val="baseline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>Nel 2019</w:t>
      </w:r>
      <w:r w:rsidR="00D31FB9" w:rsidRPr="00A5196C">
        <w:rPr>
          <w:rFonts w:ascii="Tahoma" w:hAnsi="Tahoma" w:cs="Tahoma"/>
          <w:bCs/>
          <w:sz w:val="19"/>
          <w:szCs w:val="19"/>
        </w:rPr>
        <w:t xml:space="preserve"> il fondo crediti di dubbia esigibilità, ai sensi delle disposizioni vigenti, deve essere pari </w:t>
      </w:r>
      <w:r w:rsidR="001056AF">
        <w:rPr>
          <w:rFonts w:ascii="Tahoma" w:hAnsi="Tahoma" w:cs="Tahoma"/>
          <w:bCs/>
          <w:sz w:val="19"/>
          <w:szCs w:val="19"/>
        </w:rPr>
        <w:t>almeno al 85</w:t>
      </w:r>
      <w:r w:rsidR="00D31FB9" w:rsidRPr="00A5196C">
        <w:rPr>
          <w:rFonts w:ascii="Tahoma" w:hAnsi="Tahoma" w:cs="Tahoma"/>
          <w:bCs/>
          <w:sz w:val="19"/>
          <w:szCs w:val="19"/>
        </w:rPr>
        <w:t xml:space="preserve">% del risultato ottenuto applicando il metodo di cui sopra. Nel </w:t>
      </w:r>
      <w:r w:rsidR="001056AF">
        <w:rPr>
          <w:rFonts w:ascii="Tahoma" w:hAnsi="Tahoma" w:cs="Tahoma"/>
          <w:bCs/>
          <w:sz w:val="19"/>
          <w:szCs w:val="19"/>
        </w:rPr>
        <w:t>2019</w:t>
      </w:r>
      <w:r w:rsidR="00D31FB9" w:rsidRPr="00A5196C">
        <w:rPr>
          <w:rFonts w:ascii="Tahoma" w:hAnsi="Tahoma" w:cs="Tahoma"/>
          <w:bCs/>
          <w:sz w:val="19"/>
          <w:szCs w:val="19"/>
        </w:rPr>
        <w:t xml:space="preserve"> </w:t>
      </w:r>
      <w:r w:rsidR="001056AF">
        <w:rPr>
          <w:rFonts w:ascii="Tahoma" w:hAnsi="Tahoma" w:cs="Tahoma"/>
          <w:bCs/>
          <w:sz w:val="19"/>
          <w:szCs w:val="19"/>
        </w:rPr>
        <w:t xml:space="preserve">e 2020 </w:t>
      </w:r>
      <w:r w:rsidR="00D31FB9" w:rsidRPr="00A5196C">
        <w:rPr>
          <w:rFonts w:ascii="Tahoma" w:hAnsi="Tahoma" w:cs="Tahoma"/>
          <w:bCs/>
          <w:sz w:val="19"/>
          <w:szCs w:val="19"/>
        </w:rPr>
        <w:t xml:space="preserve">tale stanziamento </w:t>
      </w:r>
      <w:r w:rsidR="001056AF">
        <w:rPr>
          <w:rFonts w:ascii="Tahoma" w:hAnsi="Tahoma" w:cs="Tahoma"/>
          <w:bCs/>
          <w:sz w:val="19"/>
          <w:szCs w:val="19"/>
        </w:rPr>
        <w:t>portato</w:t>
      </w:r>
      <w:r w:rsidR="00D31FB9">
        <w:rPr>
          <w:rFonts w:ascii="Tahoma" w:hAnsi="Tahoma" w:cs="Tahoma"/>
          <w:bCs/>
          <w:sz w:val="19"/>
          <w:szCs w:val="19"/>
        </w:rPr>
        <w:t xml:space="preserve"> al </w:t>
      </w:r>
      <w:r w:rsidR="001056AF">
        <w:rPr>
          <w:rFonts w:ascii="Tahoma" w:hAnsi="Tahoma" w:cs="Tahoma"/>
          <w:bCs/>
          <w:sz w:val="19"/>
          <w:szCs w:val="19"/>
        </w:rPr>
        <w:t>100 per cento.</w:t>
      </w:r>
    </w:p>
    <w:p w:rsidR="00D31FB9" w:rsidRPr="00A5196C" w:rsidRDefault="00D31FB9" w:rsidP="00D31FB9">
      <w:pPr>
        <w:kinsoku w:val="0"/>
        <w:overflowPunct w:val="0"/>
        <w:spacing w:line="299" w:lineRule="exact"/>
        <w:ind w:left="216" w:right="216"/>
        <w:jc w:val="both"/>
        <w:textAlignment w:val="baseline"/>
        <w:rPr>
          <w:sz w:val="24"/>
          <w:szCs w:val="24"/>
        </w:rPr>
      </w:pPr>
    </w:p>
    <w:p w:rsidR="00D31FB9" w:rsidRDefault="00D31FB9" w:rsidP="00D31FB9">
      <w:pPr>
        <w:pBdr>
          <w:top w:val="single" w:sz="4" w:space="0" w:color="000000"/>
          <w:left w:val="single" w:sz="4" w:space="3" w:color="000000"/>
          <w:bottom w:val="single" w:sz="4" w:space="2" w:color="000000"/>
          <w:right w:val="single" w:sz="4" w:space="3" w:color="000000"/>
        </w:pBdr>
        <w:shd w:val="solid" w:color="FF6500" w:fill="auto"/>
        <w:kinsoku w:val="0"/>
        <w:overflowPunct w:val="0"/>
        <w:spacing w:line="331" w:lineRule="exact"/>
        <w:ind w:left="230" w:right="230"/>
        <w:jc w:val="both"/>
        <w:textAlignment w:val="baseline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b) Elenco analitico delle quote vincolate e accantonate del risultato di amministrazione presunto al 31 dicembre 201</w:t>
      </w:r>
      <w:r w:rsidR="00055B8F">
        <w:rPr>
          <w:rFonts w:ascii="Tahoma" w:hAnsi="Tahoma" w:cs="Tahoma"/>
          <w:b/>
          <w:bCs/>
          <w:color w:val="000000"/>
          <w:sz w:val="24"/>
          <w:szCs w:val="24"/>
        </w:rPr>
        <w:t>9</w:t>
      </w:r>
      <w:r>
        <w:rPr>
          <w:rFonts w:ascii="Tahoma" w:hAnsi="Tahoma" w:cs="Tahoma"/>
          <w:b/>
          <w:bCs/>
          <w:color w:val="000000"/>
          <w:sz w:val="24"/>
          <w:szCs w:val="24"/>
        </w:rPr>
        <w:t xml:space="preserve"> e relativo utilizzo</w:t>
      </w:r>
    </w:p>
    <w:p w:rsidR="00D31FB9" w:rsidRPr="00A5196C" w:rsidRDefault="00D31FB9" w:rsidP="00D31FB9">
      <w:pPr>
        <w:kinsoku w:val="0"/>
        <w:overflowPunct w:val="0"/>
        <w:spacing w:before="306" w:line="260" w:lineRule="exact"/>
        <w:ind w:left="216"/>
        <w:jc w:val="both"/>
        <w:textAlignment w:val="baseline"/>
        <w:rPr>
          <w:rFonts w:ascii="Tahoma" w:hAnsi="Tahoma" w:cs="Tahoma"/>
          <w:bCs/>
          <w:sz w:val="19"/>
          <w:szCs w:val="19"/>
        </w:rPr>
      </w:pPr>
      <w:r w:rsidRPr="00A5196C">
        <w:rPr>
          <w:rFonts w:ascii="Tahoma" w:hAnsi="Tahoma" w:cs="Tahoma"/>
          <w:bCs/>
          <w:sz w:val="19"/>
          <w:szCs w:val="19"/>
        </w:rPr>
        <w:t xml:space="preserve">Il risultato di amministrazione presunto risulta essere stimato ad oggi in €. </w:t>
      </w:r>
      <w:r w:rsidR="003B2387">
        <w:rPr>
          <w:rFonts w:ascii="Tahoma" w:hAnsi="Tahoma" w:cs="Tahoma"/>
          <w:bCs/>
          <w:sz w:val="19"/>
          <w:szCs w:val="19"/>
        </w:rPr>
        <w:t>710.615,13</w:t>
      </w:r>
    </w:p>
    <w:p w:rsidR="00D31FB9" w:rsidRPr="00A5196C" w:rsidRDefault="00D31FB9" w:rsidP="00D31FB9">
      <w:pPr>
        <w:kinsoku w:val="0"/>
        <w:overflowPunct w:val="0"/>
        <w:spacing w:before="1" w:line="307" w:lineRule="exact"/>
        <w:ind w:left="216" w:right="144"/>
        <w:jc w:val="both"/>
        <w:textAlignment w:val="baseline"/>
        <w:rPr>
          <w:rFonts w:ascii="Tahoma" w:hAnsi="Tahoma" w:cs="Tahoma"/>
          <w:bCs/>
          <w:sz w:val="19"/>
          <w:szCs w:val="19"/>
        </w:rPr>
      </w:pPr>
      <w:r w:rsidRPr="00A5196C">
        <w:rPr>
          <w:rFonts w:ascii="Tahoma" w:hAnsi="Tahoma" w:cs="Tahoma"/>
          <w:bCs/>
          <w:sz w:val="19"/>
          <w:szCs w:val="19"/>
        </w:rPr>
        <w:t>A tal proposito va considerata la composizione dell’avanzo secondo i vincoli di destinazione previsti per legge e dettati da criteri di prudenza gestionale come evidenziato dalla seguente tabella:</w:t>
      </w:r>
    </w:p>
    <w:p w:rsidR="00D31FB9" w:rsidRPr="00A5196C" w:rsidRDefault="00D31FB9" w:rsidP="00D31FB9">
      <w:pPr>
        <w:kinsoku w:val="0"/>
        <w:overflowPunct w:val="0"/>
        <w:spacing w:before="1" w:line="307" w:lineRule="exact"/>
        <w:ind w:left="216" w:right="144"/>
        <w:jc w:val="both"/>
        <w:textAlignment w:val="baseline"/>
        <w:rPr>
          <w:rFonts w:ascii="Tahoma" w:hAnsi="Tahoma" w:cs="Tahoma"/>
          <w:bCs/>
          <w:sz w:val="19"/>
          <w:szCs w:val="19"/>
        </w:rPr>
      </w:pPr>
    </w:p>
    <w:tbl>
      <w:tblPr>
        <w:tblW w:w="0" w:type="auto"/>
        <w:tblInd w:w="18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7"/>
        <w:gridCol w:w="1982"/>
      </w:tblGrid>
      <w:tr w:rsidR="00D31FB9" w:rsidRPr="00313C6E" w:rsidTr="00243982">
        <w:trPr>
          <w:trHeight w:hRule="exact" w:val="422"/>
        </w:trPr>
        <w:tc>
          <w:tcPr>
            <w:tcW w:w="6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6500" w:fill="auto"/>
            <w:vAlign w:val="center"/>
          </w:tcPr>
          <w:p w:rsidR="00D31FB9" w:rsidRPr="00313C6E" w:rsidRDefault="00D31FB9" w:rsidP="00243982">
            <w:pPr>
              <w:kinsoku w:val="0"/>
              <w:overflowPunct w:val="0"/>
              <w:spacing w:before="120" w:after="110" w:line="183" w:lineRule="exact"/>
              <w:ind w:right="590"/>
              <w:jc w:val="both"/>
              <w:textAlignment w:val="baseline"/>
              <w:rPr>
                <w:rFonts w:ascii="Arial" w:hAnsi="Arial" w:cs="Arial"/>
                <w:b/>
                <w:bCs/>
                <w:color w:val="000000"/>
                <w:spacing w:val="1"/>
                <w:sz w:val="16"/>
                <w:szCs w:val="16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62336" behindDoc="0" locked="0" layoutInCell="0" allowOverlap="1" wp14:anchorId="43EB81B5" wp14:editId="3CDBE102">
                      <wp:simplePos x="0" y="0"/>
                      <wp:positionH relativeFrom="page">
                        <wp:posOffset>6657975</wp:posOffset>
                      </wp:positionH>
                      <wp:positionV relativeFrom="page">
                        <wp:posOffset>9916795</wp:posOffset>
                      </wp:positionV>
                      <wp:extent cx="256540" cy="170180"/>
                      <wp:effectExtent l="0" t="1270" r="635" b="0"/>
                      <wp:wrapSquare wrapText="bothSides"/>
                      <wp:docPr id="10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54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31FB9" w:rsidRDefault="00D31FB9" w:rsidP="00D31FB9">
                                  <w:pPr>
                                    <w:kinsoku w:val="0"/>
                                    <w:overflowPunct w:val="0"/>
                                    <w:spacing w:before="26" w:line="240" w:lineRule="exact"/>
                                    <w:textAlignment w:val="baseline"/>
                                    <w:rPr>
                                      <w:rFonts w:ascii="Calibri" w:hAnsi="Calibri" w:cs="Calibri"/>
                                      <w:spacing w:val="23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spacing w:val="23"/>
                                    </w:rPr>
                                    <w:t>22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B81B5" id="Text Box 9" o:spid="_x0000_s1029" type="#_x0000_t202" style="position:absolute;left:0;text-align:left;margin-left:524.25pt;margin-top:780.85pt;width:20.2pt;height:13.4pt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" o:allowincell="f" stroked="f">
                      <v:fill opacity="0"/>
                      <v:textbox inset="0,0,0,0">
                        <w:txbxContent>
                          <w:p w:rsidR="00D31FB9" w:rsidRDefault="00D31FB9" w:rsidP="00D31FB9">
                            <w:pPr>
                              <w:kinsoku w:val="0"/>
                              <w:overflowPunct w:val="0"/>
                              <w:spacing w:before="26" w:line="240" w:lineRule="exact"/>
                              <w:textAlignment w:val="baseline"/>
                              <w:rPr>
                                <w:rFonts w:ascii="Calibri" w:hAnsi="Calibri" w:cs="Calibri"/>
                                <w:spacing w:val="23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pacing w:val="23"/>
                              </w:rPr>
                              <w:t>22</w:t>
                            </w:r>
                          </w:p>
                        </w:txbxContent>
                      </v:textbox>
                      <w10:wrap type="square" anchorx="page" anchory="page"/>
                    </v:shape>
                  </w:pict>
                </mc:Fallback>
              </mc:AlternateContent>
            </w:r>
            <w:r w:rsidRPr="00313C6E">
              <w:rPr>
                <w:rFonts w:ascii="Arial" w:hAnsi="Arial" w:cs="Arial"/>
                <w:b/>
                <w:bCs/>
                <w:color w:val="000000"/>
                <w:spacing w:val="1"/>
                <w:sz w:val="16"/>
                <w:szCs w:val="16"/>
              </w:rPr>
              <w:t>Accantonamenti fondi e vincoli risultato di amministrazione presunto</w:t>
            </w:r>
          </w:p>
        </w:tc>
      </w:tr>
      <w:tr w:rsidR="00D31FB9" w:rsidRPr="00313C6E" w:rsidTr="00243982">
        <w:trPr>
          <w:trHeight w:hRule="exact" w:val="519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FB9" w:rsidRPr="00313C6E" w:rsidRDefault="00D31FB9" w:rsidP="00243982">
            <w:pPr>
              <w:kinsoku w:val="0"/>
              <w:overflowPunct w:val="0"/>
              <w:spacing w:before="164" w:after="163" w:line="182" w:lineRule="exact"/>
              <w:ind w:left="76"/>
              <w:jc w:val="both"/>
              <w:textAlignment w:val="baseline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3C6E">
              <w:rPr>
                <w:rFonts w:ascii="Arial" w:hAnsi="Arial" w:cs="Arial"/>
                <w:b/>
                <w:bCs/>
                <w:sz w:val="16"/>
                <w:szCs w:val="16"/>
              </w:rPr>
              <w:t>TOTALE AVANZO DI AMMINISTRAZIONE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FB9" w:rsidRDefault="00A64A7E" w:rsidP="00243982">
            <w:pPr>
              <w:kinsoku w:val="0"/>
              <w:overflowPunct w:val="0"/>
              <w:spacing w:before="184" w:after="12" w:line="313" w:lineRule="exact"/>
              <w:ind w:right="72"/>
              <w:jc w:val="right"/>
              <w:textAlignment w:val="baseline"/>
              <w:rPr>
                <w:rFonts w:ascii="Helvetica" w:hAnsi="Helvetica" w:cs="Helvetica"/>
                <w:spacing w:val="-1"/>
                <w:sz w:val="16"/>
                <w:szCs w:val="16"/>
              </w:rPr>
            </w:pPr>
            <w:r>
              <w:rPr>
                <w:rFonts w:ascii="Helvetica" w:hAnsi="Helvetica" w:cs="Helvetica"/>
                <w:spacing w:val="-1"/>
                <w:sz w:val="16"/>
                <w:szCs w:val="16"/>
              </w:rPr>
              <w:t>723.919,35</w:t>
            </w:r>
          </w:p>
          <w:p w:rsidR="00A64A7E" w:rsidRPr="00313C6E" w:rsidRDefault="00A64A7E" w:rsidP="00243982">
            <w:pPr>
              <w:kinsoku w:val="0"/>
              <w:overflowPunct w:val="0"/>
              <w:spacing w:before="184" w:after="12" w:line="313" w:lineRule="exact"/>
              <w:ind w:right="72"/>
              <w:jc w:val="right"/>
              <w:textAlignment w:val="baseline"/>
              <w:rPr>
                <w:rFonts w:ascii="Helvetica" w:hAnsi="Helvetica" w:cs="Helvetica"/>
                <w:spacing w:val="-1"/>
                <w:sz w:val="16"/>
                <w:szCs w:val="16"/>
              </w:rPr>
            </w:pPr>
          </w:p>
        </w:tc>
      </w:tr>
      <w:tr w:rsidR="00D31FB9" w:rsidRPr="00313C6E" w:rsidTr="00243982">
        <w:trPr>
          <w:trHeight w:hRule="exact" w:val="432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FB9" w:rsidRPr="00313C6E" w:rsidRDefault="00D31FB9" w:rsidP="00243982">
            <w:pPr>
              <w:kinsoku w:val="0"/>
              <w:overflowPunct w:val="0"/>
              <w:spacing w:before="120" w:after="120" w:line="182" w:lineRule="exact"/>
              <w:ind w:left="76"/>
              <w:jc w:val="both"/>
              <w:textAlignment w:val="baseline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3C6E">
              <w:rPr>
                <w:rFonts w:ascii="Arial" w:hAnsi="Arial" w:cs="Arial"/>
                <w:b/>
                <w:bCs/>
                <w:sz w:val="16"/>
                <w:szCs w:val="16"/>
              </w:rPr>
              <w:t>PARTE ACCANTONATA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FB9" w:rsidRPr="00313C6E" w:rsidRDefault="00C26AD6" w:rsidP="00243982">
            <w:pPr>
              <w:kinsoku w:val="0"/>
              <w:overflowPunct w:val="0"/>
              <w:spacing w:before="120" w:after="120" w:line="182" w:lineRule="exact"/>
              <w:ind w:right="72"/>
              <w:jc w:val="right"/>
              <w:textAlignment w:val="baseline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8.000,00</w:t>
            </w:r>
          </w:p>
        </w:tc>
      </w:tr>
      <w:tr w:rsidR="00D31FB9" w:rsidRPr="00313C6E" w:rsidTr="00243982">
        <w:trPr>
          <w:trHeight w:hRule="exact" w:val="264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FB9" w:rsidRPr="00313C6E" w:rsidRDefault="00D31FB9" w:rsidP="00243982">
            <w:pPr>
              <w:kinsoku w:val="0"/>
              <w:overflowPunct w:val="0"/>
              <w:spacing w:before="53" w:line="196" w:lineRule="exact"/>
              <w:ind w:left="76"/>
              <w:jc w:val="both"/>
              <w:textAlignment w:val="baseline"/>
              <w:rPr>
                <w:rFonts w:ascii="Helvetica" w:hAnsi="Helvetica" w:cs="Helvetica"/>
                <w:spacing w:val="-1"/>
                <w:sz w:val="16"/>
                <w:szCs w:val="16"/>
              </w:rPr>
            </w:pPr>
            <w:proofErr w:type="gramStart"/>
            <w:r w:rsidRPr="00313C6E">
              <w:rPr>
                <w:rFonts w:ascii="Helvetica" w:hAnsi="Helvetica" w:cs="Helvetica"/>
                <w:spacing w:val="-1"/>
                <w:sz w:val="16"/>
                <w:szCs w:val="16"/>
              </w:rPr>
              <w:t>di</w:t>
            </w:r>
            <w:proofErr w:type="gramEnd"/>
            <w:r w:rsidRPr="00313C6E">
              <w:rPr>
                <w:rFonts w:ascii="Helvetica" w:hAnsi="Helvetica" w:cs="Helvetica"/>
                <w:spacing w:val="-1"/>
                <w:sz w:val="16"/>
                <w:szCs w:val="16"/>
              </w:rPr>
              <w:t xml:space="preserve"> cui: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B9" w:rsidRPr="00313C6E" w:rsidRDefault="00D31FB9" w:rsidP="00243982">
            <w:pPr>
              <w:kinsoku w:val="0"/>
              <w:overflowPunct w:val="0"/>
              <w:jc w:val="right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1FB9" w:rsidRPr="00313C6E" w:rsidTr="00243982">
        <w:trPr>
          <w:trHeight w:hRule="exact" w:val="432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FB9" w:rsidRPr="00313C6E" w:rsidRDefault="00D31FB9" w:rsidP="00D31FB9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spacing w:before="135" w:after="0" w:line="282" w:lineRule="exact"/>
              <w:jc w:val="both"/>
              <w:textAlignment w:val="baseline"/>
              <w:rPr>
                <w:rFonts w:ascii="Helvetica" w:hAnsi="Helvetica" w:cs="Helvetica"/>
                <w:sz w:val="16"/>
                <w:szCs w:val="16"/>
              </w:rPr>
            </w:pPr>
            <w:r w:rsidRPr="00313C6E">
              <w:rPr>
                <w:rFonts w:ascii="Helvetica" w:hAnsi="Helvetica" w:cs="Helvetica"/>
                <w:sz w:val="16"/>
                <w:szCs w:val="16"/>
              </w:rPr>
              <w:t>Fondo Crediti Dubbia Esigibilità (FCDE)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FB9" w:rsidRPr="00313C6E" w:rsidRDefault="00C26AD6" w:rsidP="00243982">
            <w:pPr>
              <w:kinsoku w:val="0"/>
              <w:overflowPunct w:val="0"/>
              <w:spacing w:before="135" w:line="282" w:lineRule="exact"/>
              <w:ind w:right="72"/>
              <w:jc w:val="right"/>
              <w:textAlignment w:val="baseline"/>
              <w:rPr>
                <w:rFonts w:ascii="Helvetica" w:hAnsi="Helvetica" w:cs="Helvetica"/>
                <w:sz w:val="16"/>
                <w:szCs w:val="16"/>
              </w:rPr>
            </w:pPr>
            <w:r>
              <w:rPr>
                <w:rFonts w:ascii="Helvetica" w:hAnsi="Helvetica" w:cs="Helvetica"/>
                <w:sz w:val="16"/>
                <w:szCs w:val="16"/>
              </w:rPr>
              <w:t>8.000,00</w:t>
            </w:r>
          </w:p>
        </w:tc>
      </w:tr>
      <w:tr w:rsidR="00D31FB9" w:rsidRPr="00313C6E" w:rsidTr="00243982">
        <w:trPr>
          <w:trHeight w:hRule="exact" w:val="302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FB9" w:rsidRPr="00313C6E" w:rsidRDefault="00D31FB9" w:rsidP="00243982">
            <w:pPr>
              <w:kinsoku w:val="0"/>
              <w:overflowPunct w:val="0"/>
              <w:spacing w:before="58" w:after="53" w:line="182" w:lineRule="exact"/>
              <w:ind w:left="76"/>
              <w:jc w:val="both"/>
              <w:textAlignment w:val="baseline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3C6E">
              <w:rPr>
                <w:rFonts w:ascii="Arial" w:hAnsi="Arial" w:cs="Arial"/>
                <w:b/>
                <w:bCs/>
                <w:sz w:val="16"/>
                <w:szCs w:val="16"/>
              </w:rPr>
              <w:t>PARTE VINCOLATA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FB9" w:rsidRPr="00313C6E" w:rsidRDefault="003B2387" w:rsidP="00243982">
            <w:pPr>
              <w:kinsoku w:val="0"/>
              <w:overflowPunct w:val="0"/>
              <w:spacing w:before="58" w:after="53" w:line="182" w:lineRule="exact"/>
              <w:ind w:right="72"/>
              <w:jc w:val="right"/>
              <w:textAlignment w:val="baseline"/>
              <w:rPr>
                <w:rFonts w:ascii="Arial" w:hAnsi="Arial" w:cs="Arial"/>
                <w:b/>
                <w:bCs/>
                <w:spacing w:val="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pacing w:val="1"/>
                <w:sz w:val="16"/>
                <w:szCs w:val="16"/>
              </w:rPr>
              <w:t>330.850,00</w:t>
            </w:r>
          </w:p>
        </w:tc>
      </w:tr>
      <w:tr w:rsidR="00D31FB9" w:rsidRPr="00313C6E" w:rsidTr="00243982">
        <w:trPr>
          <w:trHeight w:hRule="exact" w:val="432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FB9" w:rsidRPr="00313C6E" w:rsidRDefault="00D31FB9" w:rsidP="00243982">
            <w:pPr>
              <w:kinsoku w:val="0"/>
              <w:overflowPunct w:val="0"/>
              <w:spacing w:before="121" w:after="120" w:line="182" w:lineRule="exact"/>
              <w:ind w:left="76"/>
              <w:jc w:val="both"/>
              <w:textAlignment w:val="baseline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3C6E">
              <w:rPr>
                <w:rFonts w:ascii="Arial" w:hAnsi="Arial" w:cs="Arial"/>
                <w:b/>
                <w:bCs/>
                <w:sz w:val="16"/>
                <w:szCs w:val="16"/>
              </w:rPr>
              <w:t>PARTE DESTINATA AGLI INVESTIMENTI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FB9" w:rsidRPr="00313C6E" w:rsidRDefault="003B2387" w:rsidP="00243982">
            <w:pPr>
              <w:kinsoku w:val="0"/>
              <w:overflowPunct w:val="0"/>
              <w:spacing w:before="121" w:after="120" w:line="182" w:lineRule="exact"/>
              <w:ind w:right="72"/>
              <w:jc w:val="right"/>
              <w:textAlignment w:val="baseline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  <w:tr w:rsidR="00D31FB9" w:rsidRPr="00313C6E" w:rsidTr="00243982">
        <w:trPr>
          <w:trHeight w:hRule="exact" w:val="437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FB9" w:rsidRPr="00313C6E" w:rsidRDefault="00D31FB9" w:rsidP="00243982">
            <w:pPr>
              <w:kinsoku w:val="0"/>
              <w:overflowPunct w:val="0"/>
              <w:spacing w:before="121" w:after="120" w:line="182" w:lineRule="exact"/>
              <w:ind w:left="76"/>
              <w:jc w:val="both"/>
              <w:textAlignment w:val="baseline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3C6E">
              <w:rPr>
                <w:rFonts w:ascii="Arial" w:hAnsi="Arial" w:cs="Arial"/>
                <w:b/>
                <w:bCs/>
                <w:sz w:val="16"/>
                <w:szCs w:val="16"/>
              </w:rPr>
              <w:t>PARTE DISPONIBILE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FB9" w:rsidRDefault="00C26AD6" w:rsidP="00243982">
            <w:pPr>
              <w:kinsoku w:val="0"/>
              <w:overflowPunct w:val="0"/>
              <w:spacing w:before="121" w:after="120" w:line="182" w:lineRule="exact"/>
              <w:ind w:right="72"/>
              <w:jc w:val="right"/>
              <w:textAlignment w:val="baseline"/>
              <w:rPr>
                <w:rFonts w:ascii="Arial" w:hAnsi="Arial" w:cs="Arial"/>
                <w:b/>
                <w:bCs/>
                <w:spacing w:val="-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pacing w:val="-1"/>
                <w:sz w:val="16"/>
                <w:szCs w:val="16"/>
              </w:rPr>
              <w:t>385069,35</w:t>
            </w:r>
          </w:p>
          <w:p w:rsidR="00C26AD6" w:rsidRPr="00313C6E" w:rsidRDefault="00C26AD6" w:rsidP="00243982">
            <w:pPr>
              <w:kinsoku w:val="0"/>
              <w:overflowPunct w:val="0"/>
              <w:spacing w:before="121" w:after="120" w:line="182" w:lineRule="exact"/>
              <w:ind w:right="72"/>
              <w:jc w:val="right"/>
              <w:textAlignment w:val="baseline"/>
              <w:rPr>
                <w:rFonts w:ascii="Arial" w:hAnsi="Arial" w:cs="Arial"/>
                <w:b/>
                <w:bCs/>
                <w:spacing w:val="-1"/>
                <w:sz w:val="16"/>
                <w:szCs w:val="16"/>
              </w:rPr>
            </w:pPr>
          </w:p>
        </w:tc>
      </w:tr>
    </w:tbl>
    <w:p w:rsidR="00D31FB9" w:rsidRDefault="00D31FB9" w:rsidP="00D31FB9">
      <w:pPr>
        <w:kinsoku w:val="0"/>
        <w:overflowPunct w:val="0"/>
        <w:spacing w:before="46" w:line="261" w:lineRule="exact"/>
        <w:jc w:val="both"/>
        <w:textAlignment w:val="baseline"/>
        <w:rPr>
          <w:sz w:val="24"/>
          <w:szCs w:val="24"/>
        </w:rPr>
      </w:pPr>
    </w:p>
    <w:p w:rsidR="00D31FB9" w:rsidRDefault="00D31FB9" w:rsidP="00D31FB9">
      <w:pPr>
        <w:kinsoku w:val="0"/>
        <w:overflowPunct w:val="0"/>
        <w:spacing w:before="46" w:line="261" w:lineRule="exact"/>
        <w:jc w:val="both"/>
        <w:textAlignment w:val="baseline"/>
        <w:rPr>
          <w:sz w:val="24"/>
          <w:szCs w:val="24"/>
        </w:rPr>
      </w:pPr>
    </w:p>
    <w:p w:rsidR="00D31FB9" w:rsidRDefault="00D31FB9" w:rsidP="00D31FB9">
      <w:pPr>
        <w:pBdr>
          <w:top w:val="single" w:sz="4" w:space="0" w:color="000000"/>
          <w:left w:val="single" w:sz="4" w:space="3" w:color="000000"/>
          <w:bottom w:val="single" w:sz="4" w:space="1" w:color="000000"/>
          <w:right w:val="single" w:sz="4" w:space="7" w:color="000000"/>
        </w:pBdr>
        <w:shd w:val="solid" w:color="FF6500" w:fill="auto"/>
        <w:kinsoku w:val="0"/>
        <w:overflowPunct w:val="0"/>
        <w:spacing w:line="317" w:lineRule="exact"/>
        <w:ind w:left="72" w:right="652"/>
        <w:jc w:val="both"/>
        <w:textAlignment w:val="baseline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360" behindDoc="0" locked="0" layoutInCell="0" allowOverlap="1" wp14:anchorId="5A53E4EA" wp14:editId="5F81C105">
                <wp:simplePos x="0" y="0"/>
                <wp:positionH relativeFrom="page">
                  <wp:posOffset>6657975</wp:posOffset>
                </wp:positionH>
                <wp:positionV relativeFrom="page">
                  <wp:posOffset>9877425</wp:posOffset>
                </wp:positionV>
                <wp:extent cx="256540" cy="196850"/>
                <wp:effectExtent l="0" t="0" r="635" b="3175"/>
                <wp:wrapSquare wrapText="bothSides"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196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1FB9" w:rsidRDefault="00D31FB9" w:rsidP="00D31FB9">
                            <w:pPr>
                              <w:kinsoku w:val="0"/>
                              <w:overflowPunct w:val="0"/>
                              <w:spacing w:before="85" w:line="214" w:lineRule="exact"/>
                              <w:textAlignment w:val="baseline"/>
                              <w:rPr>
                                <w:rFonts w:ascii="Calibri" w:hAnsi="Calibri" w:cs="Calibri"/>
                                <w:spacing w:val="20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3E4EA" id="Text Box 10" o:spid="_x0000_s1030" type="#_x0000_t202" style="position:absolute;left:0;text-align:left;margin-left:524.25pt;margin-top:777.75pt;width:20.2pt;height:15.5pt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" o:allowincell="f" stroked="f">
                <v:fill opacity="0"/>
                <v:textbox inset="0,0,0,0">
                  <w:txbxContent>
                    <w:p w:rsidR="00D31FB9" w:rsidRDefault="00D31FB9" w:rsidP="00D31FB9">
                      <w:pPr>
                        <w:kinsoku w:val="0"/>
                        <w:overflowPunct w:val="0"/>
                        <w:spacing w:before="85" w:line="214" w:lineRule="exact"/>
                        <w:textAlignment w:val="baseline"/>
                        <w:rPr>
                          <w:rFonts w:ascii="Calibri" w:hAnsi="Calibri" w:cs="Calibri"/>
                          <w:spacing w:val="20"/>
                          <w:sz w:val="23"/>
                          <w:szCs w:val="23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Tahoma" w:hAnsi="Tahoma" w:cs="Tahoma"/>
          <w:b/>
          <w:bCs/>
          <w:color w:val="000000"/>
          <w:sz w:val="24"/>
          <w:szCs w:val="24"/>
        </w:rPr>
        <w:t>c) Elenco analitico degli utilizzi delle quote vincolate e accantonate del risultato di amministrazione presunto</w:t>
      </w:r>
    </w:p>
    <w:p w:rsidR="00D31FB9" w:rsidRDefault="00D31FB9" w:rsidP="00D31FB9">
      <w:pPr>
        <w:kinsoku w:val="0"/>
        <w:overflowPunct w:val="0"/>
        <w:spacing w:before="46" w:line="261" w:lineRule="exact"/>
        <w:jc w:val="both"/>
        <w:textAlignment w:val="baseline"/>
        <w:rPr>
          <w:sz w:val="24"/>
          <w:szCs w:val="24"/>
        </w:rPr>
      </w:pPr>
    </w:p>
    <w:p w:rsidR="00D31FB9" w:rsidRDefault="00D31FB9" w:rsidP="00D31FB9">
      <w:pPr>
        <w:kinsoku w:val="0"/>
        <w:overflowPunct w:val="0"/>
        <w:spacing w:before="46" w:line="261" w:lineRule="exact"/>
        <w:jc w:val="both"/>
        <w:textAlignment w:val="baseline"/>
        <w:rPr>
          <w:rFonts w:ascii="Tahoma" w:hAnsi="Tahoma" w:cs="Tahoma"/>
          <w:bCs/>
          <w:sz w:val="19"/>
          <w:szCs w:val="19"/>
        </w:rPr>
      </w:pPr>
      <w:r w:rsidRPr="00A5196C">
        <w:rPr>
          <w:rFonts w:ascii="Tahoma" w:hAnsi="Tahoma" w:cs="Tahoma"/>
          <w:bCs/>
          <w:sz w:val="19"/>
          <w:szCs w:val="19"/>
        </w:rPr>
        <w:t>Nel bilancio 201</w:t>
      </w:r>
      <w:r w:rsidR="00682BD8">
        <w:rPr>
          <w:rFonts w:ascii="Tahoma" w:hAnsi="Tahoma" w:cs="Tahoma"/>
          <w:bCs/>
          <w:sz w:val="19"/>
          <w:szCs w:val="19"/>
        </w:rPr>
        <w:t>9</w:t>
      </w:r>
      <w:r w:rsidRPr="00A5196C">
        <w:rPr>
          <w:rFonts w:ascii="Tahoma" w:hAnsi="Tahoma" w:cs="Tahoma"/>
          <w:bCs/>
          <w:sz w:val="19"/>
          <w:szCs w:val="19"/>
        </w:rPr>
        <w:t xml:space="preserve"> </w:t>
      </w:r>
      <w:r w:rsidR="00B53DCD">
        <w:rPr>
          <w:rFonts w:ascii="Tahoma" w:hAnsi="Tahoma" w:cs="Tahoma"/>
          <w:bCs/>
          <w:sz w:val="19"/>
          <w:szCs w:val="19"/>
        </w:rPr>
        <w:t>n</w:t>
      </w:r>
      <w:r w:rsidR="00633848">
        <w:rPr>
          <w:rFonts w:ascii="Tahoma" w:hAnsi="Tahoma" w:cs="Tahoma"/>
          <w:bCs/>
          <w:sz w:val="19"/>
          <w:szCs w:val="19"/>
        </w:rPr>
        <w:t xml:space="preserve">on </w:t>
      </w:r>
      <w:r>
        <w:rPr>
          <w:rFonts w:ascii="Tahoma" w:hAnsi="Tahoma" w:cs="Tahoma"/>
          <w:bCs/>
          <w:sz w:val="19"/>
          <w:szCs w:val="19"/>
        </w:rPr>
        <w:t>è p</w:t>
      </w:r>
      <w:r w:rsidR="00E075F2">
        <w:rPr>
          <w:rFonts w:ascii="Tahoma" w:hAnsi="Tahoma" w:cs="Tahoma"/>
          <w:bCs/>
          <w:sz w:val="19"/>
          <w:szCs w:val="19"/>
        </w:rPr>
        <w:t xml:space="preserve">revisto l’applicazione di </w:t>
      </w:r>
      <w:r w:rsidR="00633848">
        <w:rPr>
          <w:rFonts w:ascii="Tahoma" w:hAnsi="Tahoma" w:cs="Tahoma"/>
          <w:bCs/>
          <w:sz w:val="19"/>
          <w:szCs w:val="19"/>
        </w:rPr>
        <w:t>avanzo.</w:t>
      </w:r>
    </w:p>
    <w:p w:rsidR="00633848" w:rsidRDefault="00633848" w:rsidP="00D31FB9">
      <w:pPr>
        <w:kinsoku w:val="0"/>
        <w:overflowPunct w:val="0"/>
        <w:spacing w:before="46" w:line="261" w:lineRule="exact"/>
        <w:jc w:val="both"/>
        <w:textAlignment w:val="baseline"/>
        <w:rPr>
          <w:rFonts w:ascii="Tahoma" w:hAnsi="Tahoma" w:cs="Tahoma"/>
          <w:b/>
          <w:bCs/>
          <w:sz w:val="19"/>
          <w:szCs w:val="19"/>
        </w:rPr>
      </w:pPr>
    </w:p>
    <w:p w:rsidR="00D31FB9" w:rsidRDefault="00D31FB9" w:rsidP="00D31FB9">
      <w:pPr>
        <w:kinsoku w:val="0"/>
        <w:overflowPunct w:val="0"/>
        <w:spacing w:before="46" w:line="261" w:lineRule="exact"/>
        <w:jc w:val="both"/>
        <w:textAlignment w:val="baseline"/>
        <w:rPr>
          <w:rFonts w:ascii="Tahoma" w:hAnsi="Tahoma" w:cs="Tahoma"/>
          <w:b/>
          <w:bCs/>
          <w:sz w:val="19"/>
          <w:szCs w:val="19"/>
        </w:rPr>
      </w:pPr>
    </w:p>
    <w:p w:rsidR="00D31FB9" w:rsidRPr="00765CED" w:rsidRDefault="00D31FB9" w:rsidP="00D31FB9">
      <w:pPr>
        <w:kinsoku w:val="0"/>
        <w:overflowPunct w:val="0"/>
        <w:spacing w:before="46" w:line="261" w:lineRule="exact"/>
        <w:jc w:val="both"/>
        <w:textAlignment w:val="baseline"/>
        <w:rPr>
          <w:rFonts w:ascii="Tahoma" w:hAnsi="Tahoma" w:cs="Tahoma"/>
          <w:b/>
          <w:bCs/>
          <w:sz w:val="19"/>
          <w:szCs w:val="19"/>
        </w:rPr>
      </w:pPr>
    </w:p>
    <w:p w:rsidR="00D31FB9" w:rsidRDefault="00D31FB9" w:rsidP="00D31FB9">
      <w:pPr>
        <w:pBdr>
          <w:top w:val="single" w:sz="4" w:space="0" w:color="000000"/>
          <w:left w:val="single" w:sz="4" w:space="3" w:color="000000"/>
          <w:bottom w:val="single" w:sz="4" w:space="1" w:color="000000"/>
          <w:right w:val="single" w:sz="4" w:space="7" w:color="000000"/>
        </w:pBdr>
        <w:shd w:val="solid" w:color="FF6500" w:fill="auto"/>
        <w:kinsoku w:val="0"/>
        <w:overflowPunct w:val="0"/>
        <w:spacing w:line="317" w:lineRule="exact"/>
        <w:ind w:left="72" w:right="652"/>
        <w:jc w:val="both"/>
        <w:textAlignment w:val="baseline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d) Elenco degli interventi programmati per spese investimento finanziati con ricorso al debito e con risorse disponibili</w:t>
      </w:r>
    </w:p>
    <w:p w:rsidR="00D31FB9" w:rsidRPr="00A5196C" w:rsidRDefault="00D31FB9" w:rsidP="00D31FB9">
      <w:pPr>
        <w:kinsoku w:val="0"/>
        <w:overflowPunct w:val="0"/>
        <w:spacing w:before="276" w:line="302" w:lineRule="exact"/>
        <w:ind w:left="72" w:right="504"/>
        <w:jc w:val="both"/>
        <w:textAlignment w:val="baseline"/>
        <w:rPr>
          <w:rFonts w:ascii="Tahoma" w:hAnsi="Tahoma" w:cs="Tahoma"/>
          <w:bCs/>
        </w:rPr>
      </w:pPr>
      <w:r w:rsidRPr="00A5196C">
        <w:rPr>
          <w:rFonts w:ascii="Tahoma" w:hAnsi="Tahoma" w:cs="Tahoma"/>
          <w:bCs/>
        </w:rPr>
        <w:t>L’Ente ha effettuato la programmazione dei propri investime</w:t>
      </w:r>
      <w:r w:rsidR="009229B0">
        <w:rPr>
          <w:rFonts w:ascii="Tahoma" w:hAnsi="Tahoma" w:cs="Tahoma"/>
          <w:bCs/>
        </w:rPr>
        <w:t>nti a valere sugli esercizi 2019</w:t>
      </w:r>
      <w:r w:rsidRPr="00A5196C">
        <w:rPr>
          <w:rFonts w:ascii="Tahoma" w:hAnsi="Tahoma" w:cs="Tahoma"/>
          <w:bCs/>
        </w:rPr>
        <w:t>-20</w:t>
      </w:r>
      <w:r w:rsidR="009229B0">
        <w:rPr>
          <w:rFonts w:ascii="Tahoma" w:hAnsi="Tahoma" w:cs="Tahoma"/>
          <w:bCs/>
        </w:rPr>
        <w:t>20</w:t>
      </w:r>
      <w:r w:rsidR="004C6B0A">
        <w:rPr>
          <w:rFonts w:ascii="Tahoma" w:hAnsi="Tahoma" w:cs="Tahoma"/>
          <w:bCs/>
        </w:rPr>
        <w:t>-202</w:t>
      </w:r>
      <w:r w:rsidR="009229B0">
        <w:rPr>
          <w:rFonts w:ascii="Tahoma" w:hAnsi="Tahoma" w:cs="Tahoma"/>
          <w:bCs/>
        </w:rPr>
        <w:t>1</w:t>
      </w:r>
      <w:r w:rsidRPr="00A5196C">
        <w:rPr>
          <w:rFonts w:ascii="Tahoma" w:hAnsi="Tahoma" w:cs="Tahoma"/>
          <w:bCs/>
        </w:rPr>
        <w:t xml:space="preserve"> senza ricorso all’indebitamento.</w:t>
      </w:r>
    </w:p>
    <w:p w:rsidR="00D31FB9" w:rsidRDefault="00D31FB9" w:rsidP="00D31FB9">
      <w:pPr>
        <w:kinsoku w:val="0"/>
        <w:overflowPunct w:val="0"/>
        <w:spacing w:line="316" w:lineRule="exact"/>
        <w:ind w:left="72"/>
        <w:jc w:val="both"/>
        <w:textAlignment w:val="baseline"/>
        <w:rPr>
          <w:rFonts w:ascii="Tahoma" w:hAnsi="Tahoma" w:cs="Tahoma"/>
          <w:bCs/>
          <w:sz w:val="24"/>
          <w:szCs w:val="24"/>
        </w:rPr>
      </w:pPr>
      <w:r w:rsidRPr="00A5196C">
        <w:rPr>
          <w:rFonts w:ascii="Tahoma" w:hAnsi="Tahoma" w:cs="Tahoma"/>
          <w:bCs/>
          <w:sz w:val="24"/>
          <w:szCs w:val="24"/>
        </w:rPr>
        <w:t>Fonti di finanziamento degli investimenti</w:t>
      </w:r>
    </w:p>
    <w:p w:rsidR="00D31FB9" w:rsidRDefault="00D31FB9" w:rsidP="00D31FB9">
      <w:pPr>
        <w:kinsoku w:val="0"/>
        <w:overflowPunct w:val="0"/>
        <w:spacing w:line="269" w:lineRule="exact"/>
        <w:ind w:left="72" w:right="504"/>
        <w:jc w:val="both"/>
        <w:textAlignment w:val="baseline"/>
        <w:rPr>
          <w:rFonts w:ascii="Tahoma" w:hAnsi="Tahoma" w:cs="Tahoma"/>
          <w:bCs/>
        </w:rPr>
      </w:pPr>
      <w:bookmarkStart w:id="0" w:name="_GoBack"/>
      <w:bookmarkEnd w:id="0"/>
      <w:r w:rsidRPr="00A5196C">
        <w:rPr>
          <w:rFonts w:ascii="Tahoma" w:hAnsi="Tahoma" w:cs="Tahoma"/>
          <w:bCs/>
        </w:rPr>
        <w:t>Per quanto attiene alle fonti di finanziamento esse sono costituite da:</w:t>
      </w:r>
    </w:p>
    <w:p w:rsidR="00D31FB9" w:rsidRPr="00A5196C" w:rsidRDefault="00D31FB9" w:rsidP="00D31FB9">
      <w:pPr>
        <w:kinsoku w:val="0"/>
        <w:overflowPunct w:val="0"/>
        <w:spacing w:line="269" w:lineRule="exact"/>
        <w:ind w:left="72" w:right="504"/>
        <w:jc w:val="both"/>
        <w:textAlignment w:val="baseline"/>
        <w:rPr>
          <w:rFonts w:ascii="Tahoma" w:hAnsi="Tahoma" w:cs="Tahoma"/>
          <w:bCs/>
        </w:rPr>
      </w:pPr>
    </w:p>
    <w:tbl>
      <w:tblPr>
        <w:tblW w:w="9684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2"/>
        <w:gridCol w:w="1417"/>
        <w:gridCol w:w="1418"/>
        <w:gridCol w:w="1417"/>
      </w:tblGrid>
      <w:tr w:rsidR="00D31FB9" w:rsidRPr="00313C6E" w:rsidTr="00243982">
        <w:trPr>
          <w:trHeight w:hRule="exact" w:val="519"/>
        </w:trPr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B9" w:rsidRPr="00313C6E" w:rsidRDefault="00D31FB9" w:rsidP="00243982">
            <w:pPr>
              <w:kinsoku w:val="0"/>
              <w:overflowPunct w:val="0"/>
              <w:spacing w:after="263" w:line="230" w:lineRule="exact"/>
              <w:ind w:left="72"/>
              <w:jc w:val="both"/>
              <w:textAlignment w:val="baseline"/>
              <w:rPr>
                <w:rFonts w:ascii="Calibri" w:hAnsi="Calibri" w:cs="Calibri"/>
                <w:spacing w:val="-4"/>
                <w:sz w:val="23"/>
                <w:szCs w:val="23"/>
              </w:rPr>
            </w:pPr>
            <w:r w:rsidRPr="00313C6E">
              <w:rPr>
                <w:rFonts w:ascii="Calibri" w:hAnsi="Calibri" w:cs="Calibri"/>
                <w:spacing w:val="-4"/>
                <w:sz w:val="23"/>
                <w:szCs w:val="23"/>
              </w:rPr>
              <w:t>AVANZO DI AMMINISTRAZIONE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B9" w:rsidRPr="00313C6E" w:rsidRDefault="009229B0" w:rsidP="00243982">
            <w:pPr>
              <w:kinsoku w:val="0"/>
              <w:overflowPunct w:val="0"/>
              <w:spacing w:after="268" w:line="225" w:lineRule="exact"/>
              <w:ind w:right="67"/>
              <w:jc w:val="right"/>
              <w:textAlignment w:val="baseline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B9" w:rsidRPr="00313C6E" w:rsidRDefault="00D31FB9" w:rsidP="00243982">
            <w:pPr>
              <w:kinsoku w:val="0"/>
              <w:overflowPunct w:val="0"/>
              <w:spacing w:after="268" w:line="225" w:lineRule="exact"/>
              <w:ind w:right="67"/>
              <w:jc w:val="right"/>
              <w:textAlignment w:val="baseline"/>
              <w:rPr>
                <w:rFonts w:ascii="Calibri" w:hAnsi="Calibri" w:cs="Calibri"/>
                <w:sz w:val="23"/>
                <w:szCs w:val="23"/>
              </w:rPr>
            </w:pPr>
            <w:r w:rsidRPr="00313C6E">
              <w:rPr>
                <w:rFonts w:ascii="Calibri" w:hAnsi="Calibri" w:cs="Calibri"/>
                <w:sz w:val="23"/>
                <w:szCs w:val="23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B9" w:rsidRPr="00313C6E" w:rsidRDefault="00D31FB9" w:rsidP="00243982">
            <w:pPr>
              <w:kinsoku w:val="0"/>
              <w:overflowPunct w:val="0"/>
              <w:spacing w:after="268" w:line="225" w:lineRule="exact"/>
              <w:ind w:right="67"/>
              <w:jc w:val="right"/>
              <w:textAlignment w:val="baseline"/>
              <w:rPr>
                <w:rFonts w:ascii="Calibri" w:hAnsi="Calibri" w:cs="Calibri"/>
                <w:sz w:val="23"/>
                <w:szCs w:val="23"/>
              </w:rPr>
            </w:pPr>
            <w:r w:rsidRPr="00313C6E">
              <w:rPr>
                <w:rFonts w:ascii="Calibri" w:hAnsi="Calibri" w:cs="Calibri"/>
                <w:sz w:val="23"/>
                <w:szCs w:val="23"/>
              </w:rPr>
              <w:t>-</w:t>
            </w:r>
          </w:p>
        </w:tc>
      </w:tr>
      <w:tr w:rsidR="00D31FB9" w:rsidRPr="00313C6E" w:rsidTr="00243982">
        <w:trPr>
          <w:trHeight w:hRule="exact" w:val="518"/>
        </w:trPr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B9" w:rsidRPr="00313C6E" w:rsidRDefault="004C6B0A" w:rsidP="00243982">
            <w:pPr>
              <w:kinsoku w:val="0"/>
              <w:overflowPunct w:val="0"/>
              <w:spacing w:after="268" w:line="225" w:lineRule="exact"/>
              <w:ind w:left="72"/>
              <w:jc w:val="both"/>
              <w:textAlignment w:val="baseline"/>
              <w:rPr>
                <w:rFonts w:ascii="Calibri" w:hAnsi="Calibri" w:cs="Calibri"/>
                <w:spacing w:val="-4"/>
                <w:sz w:val="23"/>
                <w:szCs w:val="23"/>
              </w:rPr>
            </w:pPr>
            <w:r>
              <w:rPr>
                <w:rFonts w:ascii="Calibri" w:hAnsi="Calibri" w:cs="Calibri"/>
                <w:spacing w:val="-4"/>
                <w:sz w:val="23"/>
                <w:szCs w:val="23"/>
              </w:rPr>
              <w:t xml:space="preserve">AVANZO </w:t>
            </w:r>
            <w:r w:rsidR="00D31FB9" w:rsidRPr="00313C6E">
              <w:rPr>
                <w:rFonts w:ascii="Calibri" w:hAnsi="Calibri" w:cs="Calibri"/>
                <w:spacing w:val="-4"/>
                <w:sz w:val="23"/>
                <w:szCs w:val="23"/>
              </w:rPr>
              <w:t>DI PARTE CORRENTE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B9" w:rsidRPr="00313C6E" w:rsidRDefault="002751DA" w:rsidP="00243982">
            <w:pPr>
              <w:kinsoku w:val="0"/>
              <w:overflowPunct w:val="0"/>
              <w:spacing w:after="268" w:line="225" w:lineRule="exact"/>
              <w:ind w:right="67"/>
              <w:jc w:val="right"/>
              <w:textAlignment w:val="baseline"/>
              <w:rPr>
                <w:rFonts w:ascii="Calibri" w:hAnsi="Calibri" w:cs="Calibri"/>
                <w:spacing w:val="-4"/>
                <w:sz w:val="23"/>
                <w:szCs w:val="23"/>
              </w:rPr>
            </w:pPr>
            <w:r>
              <w:rPr>
                <w:rFonts w:ascii="Calibri" w:hAnsi="Calibri" w:cs="Calibri"/>
                <w:spacing w:val="-4"/>
                <w:sz w:val="23"/>
                <w:szCs w:val="23"/>
              </w:rPr>
              <w:t>40.712,00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B9" w:rsidRPr="00313C6E" w:rsidRDefault="002751DA" w:rsidP="00243982">
            <w:pPr>
              <w:kinsoku w:val="0"/>
              <w:overflowPunct w:val="0"/>
              <w:spacing w:after="268" w:line="225" w:lineRule="exact"/>
              <w:ind w:right="67"/>
              <w:jc w:val="right"/>
              <w:textAlignment w:val="baseline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56.391</w:t>
            </w:r>
            <w:r w:rsidR="00D31FB9">
              <w:rPr>
                <w:rFonts w:ascii="Calibri" w:hAnsi="Calibri" w:cs="Calibri"/>
                <w:sz w:val="23"/>
                <w:szCs w:val="23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B9" w:rsidRPr="00313C6E" w:rsidRDefault="002751DA" w:rsidP="00243982">
            <w:pPr>
              <w:kinsoku w:val="0"/>
              <w:overflowPunct w:val="0"/>
              <w:spacing w:after="268" w:line="225" w:lineRule="exact"/>
              <w:ind w:right="67"/>
              <w:jc w:val="right"/>
              <w:textAlignment w:val="baseline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6</w:t>
            </w:r>
            <w:r w:rsidR="00663E21">
              <w:rPr>
                <w:rFonts w:ascii="Calibri" w:hAnsi="Calibri" w:cs="Calibri"/>
                <w:sz w:val="23"/>
                <w:szCs w:val="23"/>
              </w:rPr>
              <w:t>6</w:t>
            </w:r>
            <w:r>
              <w:rPr>
                <w:rFonts w:ascii="Calibri" w:hAnsi="Calibri" w:cs="Calibri"/>
                <w:sz w:val="23"/>
                <w:szCs w:val="23"/>
              </w:rPr>
              <w:t>.091</w:t>
            </w:r>
            <w:r w:rsidR="00D31FB9">
              <w:rPr>
                <w:rFonts w:ascii="Calibri" w:hAnsi="Calibri" w:cs="Calibri"/>
                <w:sz w:val="23"/>
                <w:szCs w:val="23"/>
              </w:rPr>
              <w:t>,00</w:t>
            </w:r>
          </w:p>
        </w:tc>
      </w:tr>
      <w:tr w:rsidR="00D31FB9" w:rsidRPr="00313C6E" w:rsidTr="00243982">
        <w:trPr>
          <w:trHeight w:hRule="exact" w:val="523"/>
        </w:trPr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B9" w:rsidRPr="00313C6E" w:rsidRDefault="00D31FB9" w:rsidP="00243982">
            <w:pPr>
              <w:kinsoku w:val="0"/>
              <w:overflowPunct w:val="0"/>
              <w:spacing w:after="264" w:line="229" w:lineRule="exact"/>
              <w:ind w:left="72"/>
              <w:jc w:val="both"/>
              <w:textAlignment w:val="baseline"/>
              <w:rPr>
                <w:rFonts w:ascii="Calibri" w:hAnsi="Calibri" w:cs="Calibri"/>
                <w:spacing w:val="-4"/>
                <w:sz w:val="23"/>
                <w:szCs w:val="23"/>
              </w:rPr>
            </w:pPr>
            <w:r w:rsidRPr="00313C6E">
              <w:rPr>
                <w:rFonts w:ascii="Calibri" w:hAnsi="Calibri" w:cs="Calibri"/>
                <w:spacing w:val="-4"/>
                <w:sz w:val="23"/>
                <w:szCs w:val="23"/>
              </w:rPr>
              <w:t>FONDO PLURIENNALE VINCOLATO (FPV)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B9" w:rsidRPr="00313C6E" w:rsidRDefault="00D31FB9" w:rsidP="00243982">
            <w:pPr>
              <w:tabs>
                <w:tab w:val="decimal" w:pos="792"/>
              </w:tabs>
              <w:kinsoku w:val="0"/>
              <w:overflowPunct w:val="0"/>
              <w:spacing w:after="268" w:line="225" w:lineRule="exact"/>
              <w:jc w:val="right"/>
              <w:textAlignment w:val="baseline"/>
              <w:rPr>
                <w:rFonts w:ascii="Calibri" w:hAnsi="Calibri" w:cs="Calibri"/>
                <w:spacing w:val="-4"/>
                <w:sz w:val="23"/>
                <w:szCs w:val="23"/>
              </w:rPr>
            </w:pPr>
            <w:r>
              <w:rPr>
                <w:rFonts w:ascii="Calibri" w:hAnsi="Calibri" w:cs="Calibri"/>
                <w:spacing w:val="-4"/>
                <w:sz w:val="23"/>
                <w:szCs w:val="23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B9" w:rsidRPr="00313C6E" w:rsidRDefault="00D31FB9" w:rsidP="00243982">
            <w:pPr>
              <w:kinsoku w:val="0"/>
              <w:overflowPunct w:val="0"/>
              <w:spacing w:after="268" w:line="225" w:lineRule="exact"/>
              <w:ind w:right="67"/>
              <w:jc w:val="right"/>
              <w:textAlignment w:val="baseline"/>
              <w:rPr>
                <w:rFonts w:ascii="Calibri" w:hAnsi="Calibri" w:cs="Calibri"/>
                <w:spacing w:val="-6"/>
                <w:sz w:val="23"/>
                <w:szCs w:val="23"/>
              </w:rPr>
            </w:pPr>
            <w:r>
              <w:rPr>
                <w:rFonts w:ascii="Calibri" w:hAnsi="Calibri" w:cs="Calibri"/>
                <w:spacing w:val="-6"/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B9" w:rsidRPr="00313C6E" w:rsidRDefault="00D31FB9" w:rsidP="00243982">
            <w:pPr>
              <w:kinsoku w:val="0"/>
              <w:overflowPunct w:val="0"/>
              <w:spacing w:after="268" w:line="225" w:lineRule="exact"/>
              <w:ind w:right="67"/>
              <w:jc w:val="right"/>
              <w:textAlignment w:val="baseline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0</w:t>
            </w:r>
          </w:p>
        </w:tc>
      </w:tr>
      <w:tr w:rsidR="00D31FB9" w:rsidRPr="00313C6E" w:rsidTr="00243982">
        <w:trPr>
          <w:trHeight w:hRule="exact" w:val="826"/>
        </w:trPr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B9" w:rsidRPr="00313C6E" w:rsidRDefault="00D31FB9" w:rsidP="00243982">
            <w:pPr>
              <w:kinsoku w:val="0"/>
              <w:overflowPunct w:val="0"/>
              <w:spacing w:after="258" w:line="279" w:lineRule="exact"/>
              <w:ind w:left="72" w:right="1260"/>
              <w:jc w:val="both"/>
              <w:textAlignment w:val="baseline"/>
              <w:rPr>
                <w:rFonts w:ascii="Calibri" w:hAnsi="Calibri" w:cs="Calibri"/>
                <w:spacing w:val="-4"/>
                <w:sz w:val="23"/>
                <w:szCs w:val="23"/>
              </w:rPr>
            </w:pPr>
            <w:r w:rsidRPr="00313C6E">
              <w:rPr>
                <w:rFonts w:ascii="Calibri" w:hAnsi="Calibri" w:cs="Calibri"/>
                <w:spacing w:val="-4"/>
                <w:sz w:val="23"/>
                <w:szCs w:val="23"/>
              </w:rPr>
              <w:t xml:space="preserve">ENTRATE IN CONTO CAPITALE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B9" w:rsidRPr="00313C6E" w:rsidRDefault="002751DA" w:rsidP="00243982">
            <w:pPr>
              <w:tabs>
                <w:tab w:val="decimal" w:pos="792"/>
              </w:tabs>
              <w:kinsoku w:val="0"/>
              <w:overflowPunct w:val="0"/>
              <w:spacing w:before="179" w:after="412" w:line="225" w:lineRule="exact"/>
              <w:jc w:val="right"/>
              <w:textAlignment w:val="baseline"/>
              <w:rPr>
                <w:rFonts w:ascii="Calibri" w:hAnsi="Calibri" w:cs="Calibri"/>
                <w:spacing w:val="-4"/>
                <w:sz w:val="23"/>
                <w:szCs w:val="23"/>
              </w:rPr>
            </w:pPr>
            <w:r>
              <w:rPr>
                <w:rFonts w:ascii="Calibri" w:hAnsi="Calibri" w:cs="Calibri"/>
                <w:spacing w:val="-4"/>
                <w:sz w:val="23"/>
                <w:szCs w:val="23"/>
              </w:rPr>
              <w:t>148</w:t>
            </w:r>
            <w:r w:rsidR="00D31FB9">
              <w:rPr>
                <w:rFonts w:ascii="Calibri" w:hAnsi="Calibri" w:cs="Calibri"/>
                <w:spacing w:val="-4"/>
                <w:sz w:val="23"/>
                <w:szCs w:val="23"/>
              </w:rPr>
              <w:t>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B9" w:rsidRPr="00313C6E" w:rsidRDefault="00D31FB9" w:rsidP="00243982">
            <w:pPr>
              <w:kinsoku w:val="0"/>
              <w:overflowPunct w:val="0"/>
              <w:spacing w:before="179" w:after="412" w:line="225" w:lineRule="exact"/>
              <w:ind w:right="67"/>
              <w:jc w:val="right"/>
              <w:textAlignment w:val="baseline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103.000,00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B9" w:rsidRPr="00313C6E" w:rsidRDefault="003F2774" w:rsidP="00243982">
            <w:pPr>
              <w:kinsoku w:val="0"/>
              <w:overflowPunct w:val="0"/>
              <w:spacing w:before="179" w:after="412" w:line="225" w:lineRule="exact"/>
              <w:ind w:right="67"/>
              <w:jc w:val="right"/>
              <w:textAlignment w:val="baseline"/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103.000,00</w:t>
            </w:r>
          </w:p>
        </w:tc>
      </w:tr>
      <w:tr w:rsidR="00D31FB9" w:rsidRPr="00313C6E" w:rsidTr="00243982">
        <w:trPr>
          <w:trHeight w:hRule="exact" w:val="831"/>
        </w:trPr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:rsidR="00D31FB9" w:rsidRPr="00313C6E" w:rsidRDefault="00D31FB9" w:rsidP="00243982">
            <w:pPr>
              <w:kinsoku w:val="0"/>
              <w:overflowPunct w:val="0"/>
              <w:spacing w:before="174" w:after="422" w:line="229" w:lineRule="exact"/>
              <w:ind w:left="432"/>
              <w:jc w:val="both"/>
              <w:textAlignment w:val="baseline"/>
              <w:rPr>
                <w:rFonts w:ascii="Calibri" w:hAnsi="Calibri" w:cs="Calibri"/>
                <w:b/>
                <w:bCs/>
                <w:color w:val="000000"/>
                <w:spacing w:val="-3"/>
                <w:sz w:val="23"/>
                <w:szCs w:val="23"/>
              </w:rPr>
            </w:pPr>
            <w:proofErr w:type="gramStart"/>
            <w:r w:rsidRPr="00313C6E">
              <w:rPr>
                <w:rFonts w:ascii="Calibri" w:hAnsi="Calibri" w:cs="Calibri"/>
                <w:b/>
                <w:bCs/>
                <w:color w:val="000000"/>
                <w:spacing w:val="-3"/>
                <w:sz w:val="23"/>
                <w:szCs w:val="23"/>
              </w:rPr>
              <w:t>TOTALE  INVESTIMENTI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:rsidR="00D31FB9" w:rsidRPr="00313C6E" w:rsidRDefault="002751DA" w:rsidP="00243982">
            <w:pPr>
              <w:kinsoku w:val="0"/>
              <w:overflowPunct w:val="0"/>
              <w:spacing w:before="174" w:after="422" w:line="229" w:lineRule="exact"/>
              <w:ind w:right="67"/>
              <w:jc w:val="right"/>
              <w:textAlignment w:val="baseline"/>
              <w:rPr>
                <w:rFonts w:ascii="Calibri" w:hAnsi="Calibri" w:cs="Calibri"/>
                <w:b/>
                <w:bCs/>
                <w:color w:val="000000"/>
                <w:spacing w:val="-4"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color w:val="000000"/>
                <w:spacing w:val="-4"/>
                <w:sz w:val="23"/>
                <w:szCs w:val="23"/>
              </w:rPr>
              <w:t>188.712</w:t>
            </w:r>
            <w:r w:rsidR="00D31FB9">
              <w:rPr>
                <w:rFonts w:ascii="Calibri" w:hAnsi="Calibri" w:cs="Calibri"/>
                <w:b/>
                <w:bCs/>
                <w:color w:val="000000"/>
                <w:spacing w:val="-4"/>
                <w:sz w:val="23"/>
                <w:szCs w:val="23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:rsidR="00D31FB9" w:rsidRPr="00313C6E" w:rsidRDefault="002751DA" w:rsidP="00243982">
            <w:pPr>
              <w:kinsoku w:val="0"/>
              <w:overflowPunct w:val="0"/>
              <w:spacing w:before="174" w:after="422" w:line="229" w:lineRule="exact"/>
              <w:ind w:right="67"/>
              <w:jc w:val="right"/>
              <w:textAlignment w:val="baseline"/>
              <w:rPr>
                <w:rFonts w:ascii="Calibri" w:hAnsi="Calibri" w:cs="Calibri"/>
                <w:b/>
                <w:bCs/>
                <w:color w:val="000000"/>
                <w:spacing w:val="-4"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color w:val="000000"/>
                <w:spacing w:val="-4"/>
                <w:sz w:val="23"/>
                <w:szCs w:val="23"/>
              </w:rPr>
              <w:t>159.391</w:t>
            </w:r>
            <w:r w:rsidR="00D31FB9">
              <w:rPr>
                <w:rFonts w:ascii="Calibri" w:hAnsi="Calibri" w:cs="Calibri"/>
                <w:b/>
                <w:bCs/>
                <w:color w:val="000000"/>
                <w:spacing w:val="-4"/>
                <w:sz w:val="23"/>
                <w:szCs w:val="23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auto"/>
            <w:vAlign w:val="center"/>
          </w:tcPr>
          <w:p w:rsidR="00D31FB9" w:rsidRPr="00313C6E" w:rsidRDefault="002751DA" w:rsidP="00243982">
            <w:pPr>
              <w:kinsoku w:val="0"/>
              <w:overflowPunct w:val="0"/>
              <w:spacing w:before="174" w:after="422" w:line="229" w:lineRule="exact"/>
              <w:ind w:right="67"/>
              <w:jc w:val="right"/>
              <w:textAlignment w:val="baseline"/>
              <w:rPr>
                <w:rFonts w:ascii="Calibri" w:hAnsi="Calibri" w:cs="Calibri"/>
                <w:b/>
                <w:bCs/>
                <w:color w:val="000000"/>
                <w:spacing w:val="-4"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color w:val="000000"/>
                <w:spacing w:val="-4"/>
                <w:sz w:val="23"/>
                <w:szCs w:val="23"/>
              </w:rPr>
              <w:t>169.091</w:t>
            </w:r>
            <w:r w:rsidR="003F2774">
              <w:rPr>
                <w:rFonts w:ascii="Calibri" w:hAnsi="Calibri" w:cs="Calibri"/>
                <w:b/>
                <w:bCs/>
                <w:color w:val="000000"/>
                <w:spacing w:val="-4"/>
                <w:sz w:val="23"/>
                <w:szCs w:val="23"/>
              </w:rPr>
              <w:t>,00</w:t>
            </w:r>
          </w:p>
        </w:tc>
      </w:tr>
    </w:tbl>
    <w:p w:rsidR="00D31FB9" w:rsidRDefault="00D31FB9" w:rsidP="00D31FB9">
      <w:pPr>
        <w:jc w:val="both"/>
        <w:rPr>
          <w:sz w:val="24"/>
          <w:szCs w:val="24"/>
        </w:rPr>
      </w:pPr>
    </w:p>
    <w:p w:rsidR="00D31FB9" w:rsidRPr="00A5196C" w:rsidRDefault="00D31FB9" w:rsidP="00D31FB9">
      <w:pPr>
        <w:kinsoku w:val="0"/>
        <w:overflowPunct w:val="0"/>
        <w:spacing w:line="309" w:lineRule="exact"/>
        <w:ind w:left="144"/>
        <w:jc w:val="both"/>
        <w:textAlignment w:val="baseline"/>
        <w:rPr>
          <w:rFonts w:ascii="Tahoma" w:hAnsi="Tahoma" w:cs="Tahoma"/>
          <w:bCs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384" behindDoc="0" locked="0" layoutInCell="0" allowOverlap="1" wp14:anchorId="0FD6B8C2" wp14:editId="3B7A9915">
                <wp:simplePos x="0" y="0"/>
                <wp:positionH relativeFrom="page">
                  <wp:posOffset>634365</wp:posOffset>
                </wp:positionH>
                <wp:positionV relativeFrom="page">
                  <wp:posOffset>533400</wp:posOffset>
                </wp:positionV>
                <wp:extent cx="6266180" cy="480695"/>
                <wp:effectExtent l="5715" t="0" r="5080" b="5080"/>
                <wp:wrapSquare wrapText="bothSides"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6180" cy="4806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1FB9" w:rsidRDefault="00D31FB9" w:rsidP="00D31FB9">
                            <w:pPr>
                              <w:kinsoku w:val="0"/>
                              <w:overflowPunct w:val="0"/>
                              <w:spacing w:before="4" w:line="20" w:lineRule="exact"/>
                              <w:ind w:left="134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31FB9" w:rsidRDefault="00D31FB9" w:rsidP="00D31FB9">
                            <w:pPr>
                              <w:kinsoku w:val="0"/>
                              <w:overflowPunct w:val="0"/>
                              <w:spacing w:after="281" w:line="20" w:lineRule="exact"/>
                              <w:ind w:left="134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D6B8C2" id="Text Box 12" o:spid="_x0000_s1031" type="#_x0000_t202" style="position:absolute;left:0;text-align:left;margin-left:49.95pt;margin-top:42pt;width:493.4pt;height:37.85pt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" o:allowincell="f" stroked="f">
                <v:fill opacity="0"/>
                <v:textbox inset="0,0,0,0">
                  <w:txbxContent>
                    <w:p w:rsidR="00D31FB9" w:rsidRDefault="00D31FB9" w:rsidP="00D31FB9">
                      <w:pPr>
                        <w:kinsoku w:val="0"/>
                        <w:overflowPunct w:val="0"/>
                        <w:spacing w:before="4" w:line="20" w:lineRule="exact"/>
                        <w:ind w:left="134"/>
                        <w:textAlignment w:val="baseline"/>
                        <w:rPr>
                          <w:sz w:val="24"/>
                          <w:szCs w:val="24"/>
                        </w:rPr>
                      </w:pPr>
                    </w:p>
                    <w:p w:rsidR="00D31FB9" w:rsidRDefault="00D31FB9" w:rsidP="00D31FB9">
                      <w:pPr>
                        <w:kinsoku w:val="0"/>
                        <w:overflowPunct w:val="0"/>
                        <w:spacing w:after="281" w:line="20" w:lineRule="exact"/>
                        <w:ind w:left="134"/>
                        <w:textAlignment w:val="baseline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A5196C">
        <w:rPr>
          <w:rFonts w:ascii="Tahoma" w:hAnsi="Tahoma" w:cs="Tahoma"/>
          <w:bCs/>
          <w:sz w:val="24"/>
          <w:szCs w:val="24"/>
        </w:rPr>
        <w:t>Fondo pluriennale vincolato (FPV)</w:t>
      </w:r>
    </w:p>
    <w:p w:rsidR="00D31FB9" w:rsidRPr="00A5196C" w:rsidRDefault="00D31FB9" w:rsidP="00D31FB9">
      <w:pPr>
        <w:kinsoku w:val="0"/>
        <w:overflowPunct w:val="0"/>
        <w:spacing w:before="6" w:line="305" w:lineRule="exact"/>
        <w:ind w:left="144" w:right="288"/>
        <w:jc w:val="both"/>
        <w:textAlignment w:val="baseline"/>
        <w:rPr>
          <w:rFonts w:ascii="Tahoma" w:hAnsi="Tahoma" w:cs="Tahoma"/>
          <w:bCs/>
        </w:rPr>
      </w:pPr>
      <w:r w:rsidRPr="00A5196C">
        <w:rPr>
          <w:rFonts w:ascii="Tahoma" w:hAnsi="Tahoma" w:cs="Tahoma"/>
          <w:bCs/>
        </w:rPr>
        <w:t xml:space="preserve">Il fondo pluriennale vincolato </w:t>
      </w:r>
      <w:r>
        <w:rPr>
          <w:rFonts w:ascii="Tahoma" w:hAnsi="Tahoma" w:cs="Tahoma"/>
          <w:bCs/>
        </w:rPr>
        <w:t>non è stato costituito per gli esercizi presi in esame.</w:t>
      </w:r>
    </w:p>
    <w:p w:rsidR="00D31FB9" w:rsidRPr="00A5196C" w:rsidRDefault="00D31FB9" w:rsidP="00D31FB9">
      <w:pPr>
        <w:kinsoku w:val="0"/>
        <w:overflowPunct w:val="0"/>
        <w:spacing w:line="283" w:lineRule="exact"/>
        <w:jc w:val="both"/>
        <w:textAlignment w:val="baseline"/>
        <w:rPr>
          <w:rFonts w:ascii="Tahoma" w:hAnsi="Tahoma" w:cs="Tahoma"/>
          <w:bCs/>
        </w:rPr>
      </w:pPr>
      <w:r w:rsidRPr="00A5196C">
        <w:rPr>
          <w:rFonts w:ascii="Tahoma" w:hAnsi="Tahoma" w:cs="Tahoma"/>
          <w:bCs/>
        </w:rPr>
        <w:t>Interventi previsti nel piano degli investimenti</w:t>
      </w:r>
    </w:p>
    <w:p w:rsidR="00D31FB9" w:rsidRDefault="00D31FB9" w:rsidP="00D31FB9">
      <w:pPr>
        <w:kinsoku w:val="0"/>
        <w:overflowPunct w:val="0"/>
        <w:spacing w:before="149" w:after="528" w:line="259" w:lineRule="exact"/>
        <w:jc w:val="both"/>
        <w:textAlignment w:val="baseline"/>
        <w:rPr>
          <w:rFonts w:ascii="Tahoma" w:hAnsi="Tahoma" w:cs="Tahoma"/>
          <w:bCs/>
          <w:spacing w:val="-4"/>
        </w:rPr>
      </w:pPr>
      <w:r w:rsidRPr="00A5196C">
        <w:rPr>
          <w:rFonts w:ascii="Tahoma" w:hAnsi="Tahoma" w:cs="Tahoma"/>
          <w:bCs/>
          <w:spacing w:val="-4"/>
        </w:rPr>
        <w:t>In merito alle spese di investimenti in c/capitale si riportano i singoli interventi previsti:</w:t>
      </w:r>
    </w:p>
    <w:p w:rsidR="00D31FB9" w:rsidRDefault="00D31FB9" w:rsidP="00D31FB9">
      <w:pPr>
        <w:kinsoku w:val="0"/>
        <w:overflowPunct w:val="0"/>
        <w:spacing w:before="149" w:after="528" w:line="259" w:lineRule="exact"/>
        <w:jc w:val="both"/>
        <w:textAlignment w:val="baseline"/>
        <w:rPr>
          <w:rFonts w:ascii="Tahoma" w:hAnsi="Tahoma" w:cs="Tahoma"/>
          <w:bCs/>
          <w:spacing w:val="-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408" behindDoc="0" locked="0" layoutInCell="0" allowOverlap="1" wp14:anchorId="694F93B7" wp14:editId="2CE2D28F">
                <wp:simplePos x="0" y="0"/>
                <wp:positionH relativeFrom="page">
                  <wp:posOffset>6057473</wp:posOffset>
                </wp:positionH>
                <wp:positionV relativeFrom="page">
                  <wp:posOffset>9902521</wp:posOffset>
                </wp:positionV>
                <wp:extent cx="259715" cy="170180"/>
                <wp:effectExtent l="0" t="1270" r="6985" b="0"/>
                <wp:wrapSquare wrapText="bothSides"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15" cy="1701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1FB9" w:rsidRDefault="00D31FB9" w:rsidP="00D31FB9">
                            <w:pPr>
                              <w:kinsoku w:val="0"/>
                              <w:overflowPunct w:val="0"/>
                              <w:spacing w:before="26" w:line="240" w:lineRule="exact"/>
                              <w:textAlignment w:val="baseline"/>
                              <w:rPr>
                                <w:rFonts w:ascii="Calibri" w:hAnsi="Calibri" w:cs="Calibri"/>
                                <w:spacing w:val="2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4F93B7" id="Text Box 13" o:spid="_x0000_s1032" type="#_x0000_t202" style="position:absolute;left:0;text-align:left;margin-left:476.95pt;margin-top:779.75pt;width:20.45pt;height:13.4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" o:allowincell="f" stroked="f">
                <v:fill opacity="0"/>
                <v:textbox inset="0,0,0,0">
                  <w:txbxContent>
                    <w:p w:rsidR="00D31FB9" w:rsidRDefault="00D31FB9" w:rsidP="00D31FB9">
                      <w:pPr>
                        <w:kinsoku w:val="0"/>
                        <w:overflowPunct w:val="0"/>
                        <w:spacing w:before="26" w:line="240" w:lineRule="exact"/>
                        <w:textAlignment w:val="baseline"/>
                        <w:rPr>
                          <w:rFonts w:ascii="Calibri" w:hAnsi="Calibri" w:cs="Calibri"/>
                          <w:spacing w:val="25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8C56D5">
        <w:rPr>
          <w:rFonts w:ascii="Tahoma" w:hAnsi="Tahoma" w:cs="Tahoma"/>
          <w:bCs/>
          <w:spacing w:val="-4"/>
        </w:rPr>
        <w:t>Anno 2019</w:t>
      </w: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0"/>
        <w:gridCol w:w="857"/>
        <w:gridCol w:w="909"/>
        <w:gridCol w:w="992"/>
        <w:gridCol w:w="848"/>
        <w:gridCol w:w="894"/>
      </w:tblGrid>
      <w:tr w:rsidR="00D31FB9" w:rsidRPr="00E335DF" w:rsidTr="008C56D5">
        <w:trPr>
          <w:trHeight w:val="54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31FB9" w:rsidRPr="00E335DF" w:rsidRDefault="00D31FB9" w:rsidP="00243982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</w:pPr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Descrizione Articolo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D31FB9" w:rsidRPr="00E335DF" w:rsidRDefault="003D7BFE" w:rsidP="00AB1B29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Previsioni</w:t>
            </w: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br/>
              <w:t xml:space="preserve"> Anno 201</w:t>
            </w:r>
            <w:r w:rsidR="00AB1B29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D31FB9" w:rsidRPr="00E335DF" w:rsidRDefault="00EE7E6C" w:rsidP="00243982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A</w:t>
            </w:r>
            <w:r w:rsidR="00AB1B29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 xml:space="preserve">vanzo </w:t>
            </w:r>
            <w:proofErr w:type="spellStart"/>
            <w:r w:rsidR="00AB1B29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amministraz</w:t>
            </w:r>
            <w:proofErr w:type="spellEnd"/>
            <w:r w:rsidR="00AB1B29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. Presunto 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D31FB9" w:rsidRPr="00E335DF" w:rsidRDefault="00AB1B29" w:rsidP="00243982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 xml:space="preserve">Avanzo </w:t>
            </w: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br/>
              <w:t>economico</w:t>
            </w: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br/>
              <w:t xml:space="preserve"> 2019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D31FB9" w:rsidRPr="00E335DF" w:rsidRDefault="00D31FB9" w:rsidP="00243982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</w:pPr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 xml:space="preserve">Entrate </w:t>
            </w:r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br/>
            </w:r>
            <w:proofErr w:type="spellStart"/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tit</w:t>
            </w:r>
            <w:proofErr w:type="spellEnd"/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. IV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D31FB9" w:rsidRPr="00E335DF" w:rsidRDefault="0099629B" w:rsidP="00243982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Totale</w:t>
            </w: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finanziam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br/>
            </w:r>
          </w:p>
        </w:tc>
      </w:tr>
      <w:tr w:rsidR="00D31FB9" w:rsidRPr="00E335DF" w:rsidTr="008C56D5">
        <w:trPr>
          <w:trHeight w:val="36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FB9" w:rsidRPr="003D7BFE" w:rsidRDefault="00AB1B29" w:rsidP="00243982">
            <w:pPr>
              <w:rPr>
                <w:rFonts w:asciiTheme="majorHAnsi" w:hAnsiTheme="majorHAnsi"/>
                <w:color w:val="000000"/>
                <w:sz w:val="14"/>
                <w:szCs w:val="14"/>
              </w:rPr>
            </w:pPr>
            <w:r w:rsidRPr="003D7BFE">
              <w:rPr>
                <w:rFonts w:asciiTheme="majorHAnsi" w:hAnsiTheme="majorHAnsi"/>
                <w:color w:val="000000"/>
                <w:sz w:val="14"/>
                <w:szCs w:val="14"/>
              </w:rPr>
              <w:t>Allar</w:t>
            </w:r>
            <w:r>
              <w:rPr>
                <w:rFonts w:asciiTheme="majorHAnsi" w:hAnsiTheme="majorHAnsi"/>
                <w:color w:val="000000"/>
                <w:sz w:val="14"/>
                <w:szCs w:val="14"/>
              </w:rPr>
              <w:t>gamento strada comunale in Frazi</w:t>
            </w:r>
            <w:r w:rsidRPr="003D7BFE">
              <w:rPr>
                <w:rFonts w:asciiTheme="majorHAnsi" w:hAnsiTheme="majorHAnsi"/>
                <w:color w:val="000000"/>
                <w:sz w:val="14"/>
                <w:szCs w:val="14"/>
              </w:rPr>
              <w:t>one Navillod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1FB9" w:rsidRPr="003D7BFE" w:rsidRDefault="0099629B" w:rsidP="003D7BFE">
            <w:pPr>
              <w:jc w:val="center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12.000,00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1FB9" w:rsidRPr="003D7BFE" w:rsidRDefault="00FE6823" w:rsidP="00243982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1FB9" w:rsidRPr="003D7BFE" w:rsidRDefault="00FE6823" w:rsidP="00243982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1FB9" w:rsidRPr="003D7BFE" w:rsidRDefault="0099629B" w:rsidP="00243982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12.000,00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1FB9" w:rsidRPr="003D7BFE" w:rsidRDefault="00663E21" w:rsidP="00243982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112</w:t>
            </w:r>
            <w:r w:rsidR="0099629B">
              <w:rPr>
                <w:rFonts w:asciiTheme="majorHAnsi" w:hAnsiTheme="majorHAnsi"/>
                <w:color w:val="000000"/>
                <w:sz w:val="14"/>
                <w:szCs w:val="14"/>
              </w:rPr>
              <w:t>.000,00</w:t>
            </w:r>
          </w:p>
        </w:tc>
      </w:tr>
      <w:tr w:rsidR="00D31FB9" w:rsidRPr="00E335DF" w:rsidTr="008C56D5">
        <w:trPr>
          <w:trHeight w:val="36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FB9" w:rsidRPr="003D7BFE" w:rsidRDefault="00AB1B29" w:rsidP="00243982">
            <w:pPr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Acquedotto “Petit Antey”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1FB9" w:rsidRPr="003D7BFE" w:rsidRDefault="0099629B" w:rsidP="00243982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10.000,00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1FB9" w:rsidRPr="003D7BFE" w:rsidRDefault="00FE6823" w:rsidP="00243982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1FB9" w:rsidRPr="003D7BFE" w:rsidRDefault="00FE6823" w:rsidP="00243982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1FB9" w:rsidRPr="003D7BFE" w:rsidRDefault="0099629B" w:rsidP="00243982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10.000,00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1FB9" w:rsidRPr="003D7BFE" w:rsidRDefault="0099629B" w:rsidP="00243982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120.000,00</w:t>
            </w:r>
          </w:p>
        </w:tc>
      </w:tr>
      <w:tr w:rsidR="00AB1B29" w:rsidRPr="00E335DF" w:rsidTr="008C56D5">
        <w:trPr>
          <w:trHeight w:val="36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B29" w:rsidRDefault="00AB1B29" w:rsidP="00AB1B29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Manutenzioni straordinarie varie/acquisto beni durevoli attrezzature</w:t>
            </w:r>
            <w:r w:rsidR="0099629B">
              <w:rPr>
                <w:rFonts w:ascii="Calibri" w:hAnsi="Calibri"/>
                <w:color w:val="000000"/>
                <w:sz w:val="14"/>
                <w:szCs w:val="14"/>
              </w:rPr>
              <w:t>/oneri non dovuti</w:t>
            </w:r>
            <w:r>
              <w:rPr>
                <w:rFonts w:ascii="Calibri" w:hAnsi="Calibri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B29" w:rsidRPr="003D7BFE" w:rsidRDefault="0099629B" w:rsidP="00AB1B29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161.000,00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B29" w:rsidRPr="003D7BFE" w:rsidRDefault="00FE6823" w:rsidP="00AB1B29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B29" w:rsidRPr="003D7BFE" w:rsidRDefault="0099629B" w:rsidP="00AB1B29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40.712,00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B29" w:rsidRPr="003D7BFE" w:rsidRDefault="0099629B" w:rsidP="00AB1B29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120.288,00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B29" w:rsidRPr="003D7BFE" w:rsidRDefault="00FE6823" w:rsidP="00AB1B29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-</w:t>
            </w:r>
          </w:p>
        </w:tc>
      </w:tr>
      <w:tr w:rsidR="00AB1B29" w:rsidRPr="00E335DF" w:rsidTr="008C56D5">
        <w:trPr>
          <w:trHeight w:val="36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B29" w:rsidRDefault="00AB1B29" w:rsidP="00AB1B29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Trasferimenti in conto capitale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B29" w:rsidRPr="00E335DF" w:rsidRDefault="0099629B" w:rsidP="00AB1B29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5.712,00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B29" w:rsidRPr="00E335DF" w:rsidRDefault="00FE6823" w:rsidP="00AB1B29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B29" w:rsidRPr="00E335DF" w:rsidRDefault="00FE6823" w:rsidP="00AB1B29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B29" w:rsidRPr="00E335DF" w:rsidRDefault="0099629B" w:rsidP="00AB1B29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5.712,00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B29" w:rsidRPr="00E335DF" w:rsidRDefault="00FE6823" w:rsidP="00AB1B29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-</w:t>
            </w:r>
          </w:p>
        </w:tc>
      </w:tr>
      <w:tr w:rsidR="00AB1B29" w:rsidRPr="00E335DF" w:rsidTr="008C56D5">
        <w:trPr>
          <w:trHeight w:val="36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B29" w:rsidRDefault="00AB1B29" w:rsidP="00AB1B29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0F4D62">
              <w:rPr>
                <w:rFonts w:ascii="Calibri" w:hAnsi="Calibri"/>
                <w:b/>
                <w:color w:val="000000"/>
                <w:sz w:val="14"/>
                <w:szCs w:val="14"/>
              </w:rPr>
              <w:t xml:space="preserve">TOTALI 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B29" w:rsidRDefault="00AB1B29" w:rsidP="00AB1B29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b/>
                <w:color w:val="000000"/>
                <w:sz w:val="14"/>
                <w:szCs w:val="14"/>
              </w:rPr>
              <w:t>188.712,00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B29" w:rsidRPr="00E335DF" w:rsidRDefault="00AB1B29" w:rsidP="00AB1B29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B29" w:rsidRPr="00E335DF" w:rsidRDefault="00AB1B29" w:rsidP="00AB1B29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40.712,00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B29" w:rsidRPr="00E335DF" w:rsidRDefault="00AB1B29" w:rsidP="00AB1B29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b/>
                <w:color w:val="000000"/>
                <w:sz w:val="14"/>
                <w:szCs w:val="14"/>
              </w:rPr>
              <w:t>148</w:t>
            </w:r>
            <w:r w:rsidRPr="000F4D62">
              <w:rPr>
                <w:rFonts w:ascii="Calibri" w:hAnsi="Calibri"/>
                <w:b/>
                <w:color w:val="000000"/>
                <w:sz w:val="14"/>
                <w:szCs w:val="14"/>
              </w:rPr>
              <w:t>.000,00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B29" w:rsidRDefault="00FE6823" w:rsidP="00AB1B29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-</w:t>
            </w:r>
          </w:p>
        </w:tc>
      </w:tr>
      <w:tr w:rsidR="00AB1B29" w:rsidRPr="00E335DF" w:rsidTr="008C56D5">
        <w:trPr>
          <w:trHeight w:val="360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B29" w:rsidRDefault="00AB1B29" w:rsidP="00AB1B29">
            <w:pPr>
              <w:kinsoku w:val="0"/>
              <w:overflowPunct w:val="0"/>
              <w:spacing w:before="149" w:after="528" w:line="259" w:lineRule="exact"/>
              <w:jc w:val="both"/>
              <w:textAlignment w:val="baseline"/>
              <w:rPr>
                <w:rFonts w:ascii="Tahoma" w:hAnsi="Tahoma" w:cs="Tahoma"/>
                <w:bCs/>
                <w:spacing w:val="-4"/>
              </w:rPr>
            </w:pPr>
          </w:p>
          <w:p w:rsidR="00AB1B29" w:rsidRDefault="00AB1B29" w:rsidP="00AB1B29">
            <w:pPr>
              <w:kinsoku w:val="0"/>
              <w:overflowPunct w:val="0"/>
              <w:spacing w:before="149" w:after="528" w:line="259" w:lineRule="exact"/>
              <w:jc w:val="both"/>
              <w:textAlignment w:val="baseline"/>
              <w:rPr>
                <w:rFonts w:ascii="Tahoma" w:hAnsi="Tahoma" w:cs="Tahoma"/>
                <w:bCs/>
                <w:spacing w:val="-4"/>
              </w:rPr>
            </w:pPr>
          </w:p>
          <w:p w:rsidR="00AB1B29" w:rsidRDefault="00E4359D" w:rsidP="00AB1B29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bCs/>
                <w:spacing w:val="-4"/>
              </w:rPr>
              <w:t>Anno 2020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B29" w:rsidRDefault="00AB1B29" w:rsidP="00AB1B29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B29" w:rsidRPr="00E335DF" w:rsidRDefault="00AB1B29" w:rsidP="00AB1B29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B29" w:rsidRPr="00E335DF" w:rsidRDefault="00AB1B29" w:rsidP="00AB1B29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B29" w:rsidRPr="00E335DF" w:rsidRDefault="00AB1B29" w:rsidP="00AB1B29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B29" w:rsidRDefault="00AB1B29" w:rsidP="00AB1B29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</w:tr>
      <w:tr w:rsidR="00AB1B29" w:rsidRPr="00E335DF" w:rsidTr="008C56D5">
        <w:trPr>
          <w:trHeight w:val="322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B29" w:rsidRDefault="00AB1B29" w:rsidP="00AB1B29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B29" w:rsidRDefault="00AB1B29" w:rsidP="00AB1B29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B29" w:rsidRPr="00E335DF" w:rsidRDefault="00AB1B29" w:rsidP="00AB1B29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B29" w:rsidRPr="00E335DF" w:rsidRDefault="00AB1B29" w:rsidP="00AB1B29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B29" w:rsidRPr="00E335DF" w:rsidRDefault="00AB1B29" w:rsidP="00AB1B29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B29" w:rsidRDefault="00AB1B29" w:rsidP="00AB1B29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</w:tr>
      <w:tr w:rsidR="00AB1B29" w:rsidRPr="00E335DF" w:rsidTr="008C56D5">
        <w:trPr>
          <w:trHeight w:val="180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B29" w:rsidRPr="000F4D62" w:rsidRDefault="00AB1B29" w:rsidP="00AB1B29">
            <w:pPr>
              <w:rPr>
                <w:rFonts w:ascii="Calibri" w:hAnsi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B29" w:rsidRPr="000F4D62" w:rsidRDefault="00AB1B29" w:rsidP="00AB1B29">
            <w:pPr>
              <w:jc w:val="right"/>
              <w:rPr>
                <w:rFonts w:ascii="Calibri" w:hAnsi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B29" w:rsidRPr="000F4D62" w:rsidRDefault="00AB1B29" w:rsidP="00AB1B29">
            <w:pPr>
              <w:jc w:val="right"/>
              <w:rPr>
                <w:rFonts w:ascii="Calibri" w:hAnsi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B29" w:rsidRPr="000F4D62" w:rsidRDefault="00AB1B29" w:rsidP="00AB1B29">
            <w:pPr>
              <w:jc w:val="right"/>
              <w:rPr>
                <w:rFonts w:ascii="Calibri" w:hAnsi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B29" w:rsidRPr="000F4D62" w:rsidRDefault="00AB1B29" w:rsidP="00AB1B29">
            <w:pPr>
              <w:jc w:val="right"/>
              <w:rPr>
                <w:rFonts w:ascii="Calibri" w:hAnsi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B29" w:rsidRPr="000F4D62" w:rsidRDefault="00AB1B29" w:rsidP="00AB1B29">
            <w:pPr>
              <w:jc w:val="right"/>
              <w:rPr>
                <w:rFonts w:ascii="Calibri" w:hAnsi="Calibri"/>
                <w:b/>
                <w:color w:val="000000"/>
                <w:sz w:val="14"/>
                <w:szCs w:val="14"/>
              </w:rPr>
            </w:pPr>
          </w:p>
        </w:tc>
      </w:tr>
      <w:tr w:rsidR="00AB1B29" w:rsidRPr="00E335DF" w:rsidTr="008C56D5">
        <w:trPr>
          <w:trHeight w:val="18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B1B29" w:rsidRPr="00E335DF" w:rsidRDefault="00AB1B29" w:rsidP="00AB1B29">
            <w:pPr>
              <w:kinsoku w:val="0"/>
              <w:overflowPunct w:val="0"/>
              <w:spacing w:before="149" w:after="528" w:line="259" w:lineRule="exact"/>
              <w:jc w:val="both"/>
              <w:textAlignment w:val="baseline"/>
              <w:rPr>
                <w:rFonts w:ascii="Tahoma" w:hAnsi="Tahoma" w:cs="Tahoma"/>
                <w:bCs/>
                <w:spacing w:val="-4"/>
              </w:rPr>
            </w:pPr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Descrizione Articolo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B1B29" w:rsidRPr="00E335DF" w:rsidRDefault="00AB1B29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Previsioni</w:t>
            </w: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br/>
              <w:t xml:space="preserve"> Anno </w:t>
            </w:r>
            <w:r w:rsidR="008C56D5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B1B29" w:rsidRPr="00E335DF" w:rsidRDefault="00AB1B29" w:rsidP="00AB1B29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proofErr w:type="spellStart"/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Prev.Def</w:t>
            </w:r>
            <w:proofErr w:type="spellEnd"/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br/>
              <w:t>.</w:t>
            </w:r>
            <w:proofErr w:type="spellStart"/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prec</w:t>
            </w:r>
            <w:proofErr w:type="spellEnd"/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. FPV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B1B29" w:rsidRPr="00E335DF" w:rsidRDefault="00AB1B29" w:rsidP="00AB1B29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 xml:space="preserve">Avanzo </w:t>
            </w: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br/>
              <w:t>economico</w:t>
            </w: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br/>
              <w:t xml:space="preserve"> </w:t>
            </w:r>
            <w:r w:rsidR="008C56D5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B1B29" w:rsidRPr="00E335DF" w:rsidRDefault="00AB1B29" w:rsidP="00AB1B29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 xml:space="preserve">Entrate </w:t>
            </w: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tit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. IV</w:t>
            </w: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br/>
            </w:r>
            <w:r w:rsidR="008C56D5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B1B29" w:rsidRPr="00E335DF" w:rsidRDefault="00AB1B29" w:rsidP="00AB1B29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Totale</w:t>
            </w: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finanziam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br/>
            </w:r>
            <w:r w:rsidR="008C56D5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2020</w:t>
            </w:r>
          </w:p>
        </w:tc>
      </w:tr>
      <w:tr w:rsidR="008C56D5" w:rsidRPr="00E335DF" w:rsidTr="008C56D5">
        <w:trPr>
          <w:trHeight w:val="18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8C56D5" w:rsidP="008C56D5">
            <w:pPr>
              <w:rPr>
                <w:rFonts w:asciiTheme="majorHAnsi" w:hAnsiTheme="majorHAnsi"/>
                <w:color w:val="000000"/>
                <w:sz w:val="14"/>
                <w:szCs w:val="14"/>
              </w:rPr>
            </w:pPr>
            <w:r w:rsidRPr="003D7BFE">
              <w:rPr>
                <w:rFonts w:asciiTheme="majorHAnsi" w:hAnsiTheme="majorHAnsi"/>
                <w:color w:val="000000"/>
                <w:sz w:val="14"/>
                <w:szCs w:val="14"/>
              </w:rPr>
              <w:t>Allar</w:t>
            </w:r>
            <w:r>
              <w:rPr>
                <w:rFonts w:asciiTheme="majorHAnsi" w:hAnsiTheme="majorHAnsi"/>
                <w:color w:val="000000"/>
                <w:sz w:val="14"/>
                <w:szCs w:val="14"/>
              </w:rPr>
              <w:t>gamento strada comunale in Frazi</w:t>
            </w:r>
            <w:r w:rsidRPr="003D7BFE">
              <w:rPr>
                <w:rFonts w:asciiTheme="majorHAnsi" w:hAnsiTheme="majorHAnsi"/>
                <w:color w:val="000000"/>
                <w:sz w:val="14"/>
                <w:szCs w:val="14"/>
              </w:rPr>
              <w:t>one Navillod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663E21" w:rsidP="008C56D5">
            <w:pPr>
              <w:jc w:val="center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100.000,00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792B5D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792B5D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792B5D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100.000,00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663E21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112</w:t>
            </w:r>
            <w:r w:rsidR="008C56D5">
              <w:rPr>
                <w:rFonts w:asciiTheme="majorHAnsi" w:hAnsiTheme="majorHAnsi"/>
                <w:color w:val="000000"/>
                <w:sz w:val="14"/>
                <w:szCs w:val="14"/>
              </w:rPr>
              <w:t>.000,00</w:t>
            </w:r>
          </w:p>
        </w:tc>
      </w:tr>
      <w:tr w:rsidR="008C56D5" w:rsidRPr="00E335DF" w:rsidTr="008C56D5">
        <w:trPr>
          <w:trHeight w:val="18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8C56D5" w:rsidP="008C56D5">
            <w:pPr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Acquedotto “Petit Antey”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792B5D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792B5D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792B5D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792B5D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8C56D5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120.000,00</w:t>
            </w:r>
          </w:p>
        </w:tc>
      </w:tr>
      <w:tr w:rsidR="008C56D5" w:rsidRPr="00E335DF" w:rsidTr="008C56D5">
        <w:trPr>
          <w:trHeight w:val="54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Manutenzioni straordinarie varie/acquisto beni durevoli attrezzature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6D5" w:rsidRPr="003D7BFE" w:rsidRDefault="00792B5D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59.291,00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6D5" w:rsidRPr="003D7BFE" w:rsidRDefault="00792B5D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6D5" w:rsidRPr="003D7BFE" w:rsidRDefault="00792B5D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56.291,00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6D5" w:rsidRPr="003D7BFE" w:rsidRDefault="00792B5D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3.000,00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6D5" w:rsidRPr="003D7BFE" w:rsidRDefault="00792B5D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-</w:t>
            </w:r>
          </w:p>
        </w:tc>
      </w:tr>
      <w:tr w:rsidR="008C56D5" w:rsidRPr="00E335DF" w:rsidTr="008C56D5">
        <w:trPr>
          <w:trHeight w:val="18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Trasferimenti in conto capitale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E335DF" w:rsidRDefault="00663E21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E335DF" w:rsidRDefault="00792B5D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E335DF" w:rsidRDefault="00792B5D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E335DF" w:rsidRDefault="00792B5D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E335DF" w:rsidRDefault="00792B5D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-</w:t>
            </w:r>
          </w:p>
        </w:tc>
      </w:tr>
      <w:tr w:rsidR="008C56D5" w:rsidRPr="00E335DF" w:rsidTr="008C56D5">
        <w:trPr>
          <w:trHeight w:val="18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C60896">
              <w:rPr>
                <w:rFonts w:ascii="Calibri" w:hAnsi="Calibri"/>
                <w:b/>
                <w:color w:val="000000"/>
                <w:sz w:val="14"/>
                <w:szCs w:val="14"/>
              </w:rPr>
              <w:t xml:space="preserve">TOTALE 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E335DF" w:rsidRDefault="00E4359D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159.391,00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E335DF" w:rsidRDefault="00E4359D" w:rsidP="00E4359D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E335DF" w:rsidRDefault="00E4359D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56.391,00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E335DF" w:rsidRDefault="00E4359D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103.000,00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E335DF" w:rsidRDefault="00792B5D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-</w:t>
            </w:r>
          </w:p>
        </w:tc>
      </w:tr>
      <w:tr w:rsidR="008C56D5" w:rsidRPr="00E335DF" w:rsidTr="004B717C">
        <w:trPr>
          <w:trHeight w:val="180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C56D5" w:rsidRDefault="008C56D5" w:rsidP="008C56D5">
            <w:pPr>
              <w:rPr>
                <w:rFonts w:ascii="Tahoma" w:hAnsi="Tahoma" w:cs="Tahoma"/>
                <w:bCs/>
                <w:spacing w:val="-4"/>
              </w:rPr>
            </w:pPr>
          </w:p>
          <w:p w:rsidR="008C56D5" w:rsidRPr="00E335DF" w:rsidRDefault="00E4359D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bCs/>
                <w:spacing w:val="-4"/>
              </w:rPr>
              <w:t>Anno 2021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C56D5" w:rsidRPr="00E335DF" w:rsidRDefault="008C56D5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C56D5" w:rsidRPr="00E335DF" w:rsidRDefault="008C56D5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</w:tr>
      <w:tr w:rsidR="008C56D5" w:rsidRPr="00E335DF" w:rsidTr="004B717C">
        <w:trPr>
          <w:trHeight w:val="180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Default="008C56D5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Default="008C56D5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</w:tr>
      <w:tr w:rsidR="008C56D5" w:rsidRPr="00E335DF" w:rsidTr="004B717C">
        <w:trPr>
          <w:trHeight w:val="18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C56D5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Descrizione Articolo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C56D5" w:rsidRDefault="008C56D5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Previsioni</w:t>
            </w: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br/>
              <w:t xml:space="preserve"> Anno 2021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proofErr w:type="spellStart"/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Prev.Def</w:t>
            </w:r>
            <w:proofErr w:type="spellEnd"/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br/>
              <w:t>.</w:t>
            </w:r>
            <w:proofErr w:type="spellStart"/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prec</w:t>
            </w:r>
            <w:proofErr w:type="spellEnd"/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. FPV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 xml:space="preserve">Avanzo </w:t>
            </w:r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br/>
              <w:t>economico</w:t>
            </w:r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br/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 xml:space="preserve">Entrate </w:t>
            </w:r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br/>
            </w:r>
            <w:proofErr w:type="spellStart"/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tit</w:t>
            </w:r>
            <w:proofErr w:type="spellEnd"/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. IV</w:t>
            </w:r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br/>
            </w: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C56D5" w:rsidRDefault="008C56D5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Totale</w:t>
            </w:r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br/>
            </w:r>
            <w:proofErr w:type="spellStart"/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finanziam</w:t>
            </w:r>
            <w:proofErr w:type="spellEnd"/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.</w:t>
            </w:r>
            <w:r w:rsidRPr="00E335DF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br/>
            </w:r>
            <w:r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2021</w:t>
            </w:r>
          </w:p>
        </w:tc>
      </w:tr>
      <w:tr w:rsidR="008C56D5" w:rsidRPr="00C60896" w:rsidTr="004B717C">
        <w:trPr>
          <w:trHeight w:val="18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C60896" w:rsidRDefault="008C56D5" w:rsidP="008C56D5">
            <w:pPr>
              <w:rPr>
                <w:rFonts w:ascii="Calibri" w:hAnsi="Calibri"/>
                <w:b/>
                <w:color w:val="000000"/>
                <w:sz w:val="14"/>
                <w:szCs w:val="14"/>
              </w:rPr>
            </w:pPr>
            <w:r w:rsidRPr="003D7BFE">
              <w:rPr>
                <w:rFonts w:asciiTheme="majorHAnsi" w:hAnsiTheme="majorHAnsi"/>
                <w:color w:val="000000"/>
                <w:sz w:val="14"/>
                <w:szCs w:val="14"/>
              </w:rPr>
              <w:t>Allar</w:t>
            </w:r>
            <w:r>
              <w:rPr>
                <w:rFonts w:asciiTheme="majorHAnsi" w:hAnsiTheme="majorHAnsi"/>
                <w:color w:val="000000"/>
                <w:sz w:val="14"/>
                <w:szCs w:val="14"/>
              </w:rPr>
              <w:t>gamento strada comunale in Frazi</w:t>
            </w:r>
            <w:r w:rsidRPr="003D7BFE">
              <w:rPr>
                <w:rFonts w:asciiTheme="majorHAnsi" w:hAnsiTheme="majorHAnsi"/>
                <w:color w:val="000000"/>
                <w:sz w:val="14"/>
                <w:szCs w:val="14"/>
              </w:rPr>
              <w:t>one Navillod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22372A" w:rsidRDefault="00663E21" w:rsidP="0022372A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22372A">
              <w:rPr>
                <w:rFonts w:ascii="Calibri" w:hAnsi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22372A" w:rsidRDefault="00663E21" w:rsidP="0022372A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22372A">
              <w:rPr>
                <w:rFonts w:ascii="Calibri" w:hAnsi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22372A" w:rsidRDefault="0022372A" w:rsidP="0022372A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22372A">
              <w:rPr>
                <w:rFonts w:ascii="Calibri" w:hAnsi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22372A" w:rsidRDefault="0022372A" w:rsidP="0022372A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 w:rsidRPr="0022372A">
              <w:rPr>
                <w:rFonts w:ascii="Calibri" w:hAnsi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8C56D5" w:rsidP="00663E21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11</w:t>
            </w:r>
            <w:r w:rsidR="00663E21">
              <w:rPr>
                <w:rFonts w:asciiTheme="majorHAnsi" w:hAnsiTheme="majorHAnsi"/>
                <w:color w:val="000000"/>
                <w:sz w:val="14"/>
                <w:szCs w:val="14"/>
              </w:rPr>
              <w:t>2</w:t>
            </w:r>
            <w:r>
              <w:rPr>
                <w:rFonts w:asciiTheme="majorHAnsi" w:hAnsiTheme="majorHAnsi"/>
                <w:color w:val="000000"/>
                <w:sz w:val="14"/>
                <w:szCs w:val="14"/>
              </w:rPr>
              <w:t>.000,00</w:t>
            </w:r>
          </w:p>
        </w:tc>
      </w:tr>
      <w:tr w:rsidR="008C56D5" w:rsidRPr="00E335DF" w:rsidTr="008C56D5">
        <w:trPr>
          <w:trHeight w:val="18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8C56D5" w:rsidP="008C56D5">
            <w:pPr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Acquedotto “Petit Antey”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663E21" w:rsidP="008C56D5">
            <w:pPr>
              <w:jc w:val="center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110.000,00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663E21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663E21" w:rsidP="00663E21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7.000,00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663E21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103.000,00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8C56D5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120.000,00</w:t>
            </w:r>
          </w:p>
        </w:tc>
      </w:tr>
      <w:tr w:rsidR="008C56D5" w:rsidRPr="00E335DF" w:rsidTr="008C56D5">
        <w:trPr>
          <w:trHeight w:val="18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8C56D5" w:rsidP="008C56D5">
            <w:pPr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Manutenzioni straordinarie varie/acquisto beni durevoli attrezzature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663E21" w:rsidP="00663E21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58.991,00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663E21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663E21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58.991,00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663E21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3D7BFE" w:rsidRDefault="0022372A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-</w:t>
            </w:r>
          </w:p>
        </w:tc>
      </w:tr>
      <w:tr w:rsidR="008C56D5" w:rsidRPr="00E335DF" w:rsidTr="008C56D5">
        <w:trPr>
          <w:trHeight w:val="54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Trasferimenti in conto capitale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6D5" w:rsidRPr="003D7BFE" w:rsidRDefault="00663E21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6D5" w:rsidRPr="003D7BFE" w:rsidRDefault="00663E21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6D5" w:rsidRPr="003D7BFE" w:rsidRDefault="00663E21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6D5" w:rsidRPr="003D7BFE" w:rsidRDefault="00663E21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6D5" w:rsidRPr="003D7BFE" w:rsidRDefault="0022372A" w:rsidP="008C56D5">
            <w:pPr>
              <w:jc w:val="right"/>
              <w:rPr>
                <w:rFonts w:asciiTheme="majorHAnsi" w:hAnsiTheme="majorHAnsi"/>
                <w:color w:val="000000"/>
                <w:sz w:val="14"/>
                <w:szCs w:val="14"/>
              </w:rPr>
            </w:pPr>
            <w:r>
              <w:rPr>
                <w:rFonts w:asciiTheme="majorHAnsi" w:hAnsiTheme="majorHAnsi"/>
                <w:color w:val="000000"/>
                <w:sz w:val="14"/>
                <w:szCs w:val="14"/>
              </w:rPr>
              <w:t>-</w:t>
            </w:r>
          </w:p>
        </w:tc>
      </w:tr>
      <w:tr w:rsidR="008C56D5" w:rsidRPr="00E335DF" w:rsidTr="008C56D5">
        <w:trPr>
          <w:trHeight w:val="233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D5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C60896">
              <w:rPr>
                <w:rFonts w:ascii="Calibri" w:hAnsi="Calibri"/>
                <w:b/>
                <w:color w:val="000000"/>
                <w:sz w:val="14"/>
                <w:szCs w:val="14"/>
              </w:rPr>
              <w:t xml:space="preserve">TOTALE 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E335DF" w:rsidRDefault="00E4359D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169.091,00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E335DF" w:rsidRDefault="00E4359D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E335DF" w:rsidRDefault="00E4359D" w:rsidP="00663E21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6</w:t>
            </w:r>
            <w:r w:rsidR="00663E21">
              <w:rPr>
                <w:rFonts w:ascii="Calibri" w:hAnsi="Calibri"/>
                <w:color w:val="000000"/>
                <w:sz w:val="14"/>
                <w:szCs w:val="14"/>
              </w:rPr>
              <w:t>6</w:t>
            </w:r>
            <w:r>
              <w:rPr>
                <w:rFonts w:ascii="Calibri" w:hAnsi="Calibri"/>
                <w:color w:val="000000"/>
                <w:sz w:val="14"/>
                <w:szCs w:val="14"/>
              </w:rPr>
              <w:t>.091,00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E335DF" w:rsidRDefault="00E4359D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103.000,00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6D5" w:rsidRPr="00E335DF" w:rsidRDefault="0022372A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-</w:t>
            </w:r>
          </w:p>
        </w:tc>
      </w:tr>
      <w:tr w:rsidR="008C56D5" w:rsidRPr="00E335DF" w:rsidTr="004B717C">
        <w:trPr>
          <w:trHeight w:val="180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Pr="00E335DF" w:rsidRDefault="008C56D5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Pr="00E335DF" w:rsidRDefault="008C56D5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</w:tr>
      <w:tr w:rsidR="008C56D5" w:rsidRPr="00E335DF" w:rsidTr="008C56D5">
        <w:trPr>
          <w:trHeight w:val="360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Pr="00E335DF" w:rsidRDefault="008C56D5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Pr="00E335DF" w:rsidRDefault="008C56D5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</w:tr>
      <w:tr w:rsidR="008C56D5" w:rsidRPr="00E335DF" w:rsidTr="008C56D5">
        <w:trPr>
          <w:trHeight w:val="360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56D5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Default="008C56D5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Default="008C56D5" w:rsidP="008C56D5">
            <w:pPr>
              <w:jc w:val="right"/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</w:tr>
      <w:tr w:rsidR="008C56D5" w:rsidRPr="00E335DF" w:rsidTr="008C56D5">
        <w:trPr>
          <w:trHeight w:val="180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56D5" w:rsidRPr="00E335DF" w:rsidRDefault="008C56D5" w:rsidP="008C56D5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</w:tr>
    </w:tbl>
    <w:p w:rsidR="00D31FB9" w:rsidRDefault="00D31FB9" w:rsidP="00D31FB9">
      <w:pPr>
        <w:kinsoku w:val="0"/>
        <w:overflowPunct w:val="0"/>
        <w:spacing w:before="149" w:after="528" w:line="259" w:lineRule="exact"/>
        <w:jc w:val="both"/>
        <w:textAlignment w:val="baseline"/>
        <w:rPr>
          <w:rFonts w:ascii="Tahoma" w:hAnsi="Tahoma" w:cs="Tahoma"/>
          <w:b/>
          <w:bCs/>
          <w:spacing w:val="-4"/>
        </w:rPr>
      </w:pPr>
    </w:p>
    <w:p w:rsidR="00D31FB9" w:rsidRDefault="00D31FB9" w:rsidP="00D31FB9">
      <w:pPr>
        <w:pBdr>
          <w:top w:val="single" w:sz="4" w:space="0" w:color="000000"/>
          <w:left w:val="single" w:sz="4" w:space="3" w:color="000000"/>
          <w:bottom w:val="single" w:sz="4" w:space="2" w:color="000000"/>
          <w:right w:val="single" w:sz="4" w:space="7" w:color="000000"/>
        </w:pBdr>
        <w:shd w:val="solid" w:color="FF6500" w:fill="auto"/>
        <w:kinsoku w:val="0"/>
        <w:overflowPunct w:val="0"/>
        <w:spacing w:line="336" w:lineRule="exact"/>
        <w:ind w:left="72" w:right="317"/>
        <w:jc w:val="both"/>
        <w:textAlignment w:val="baseline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e) stanziamenti riguardanti il fondo pluriennale vincolato – FPV – per investimenti ancora in corso di definizione</w:t>
      </w:r>
    </w:p>
    <w:p w:rsidR="00D31FB9" w:rsidRPr="00A5196C" w:rsidRDefault="00D31FB9" w:rsidP="00D31FB9">
      <w:pPr>
        <w:kinsoku w:val="0"/>
        <w:overflowPunct w:val="0"/>
        <w:spacing w:before="149" w:after="528" w:line="259" w:lineRule="exact"/>
        <w:jc w:val="both"/>
        <w:textAlignment w:val="baseline"/>
        <w:rPr>
          <w:rFonts w:ascii="Tahoma" w:hAnsi="Tahoma" w:cs="Tahoma"/>
          <w:bCs/>
          <w:spacing w:val="-4"/>
        </w:rPr>
      </w:pPr>
      <w:r w:rsidRPr="00A5196C">
        <w:rPr>
          <w:rFonts w:ascii="Tahoma" w:hAnsi="Tahoma" w:cs="Tahoma"/>
          <w:bCs/>
          <w:spacing w:val="-4"/>
        </w:rPr>
        <w:t>Non previsti in bilancio.</w:t>
      </w:r>
    </w:p>
    <w:p w:rsidR="00D31FB9" w:rsidRDefault="00D31FB9" w:rsidP="00D31FB9">
      <w:pPr>
        <w:kinsoku w:val="0"/>
        <w:overflowPunct w:val="0"/>
        <w:spacing w:after="594" w:line="20" w:lineRule="exact"/>
        <w:ind w:left="777" w:right="941"/>
        <w:jc w:val="both"/>
        <w:textAlignment w:val="baseline"/>
        <w:rPr>
          <w:sz w:val="24"/>
          <w:szCs w:val="24"/>
        </w:rPr>
      </w:pPr>
    </w:p>
    <w:p w:rsidR="00D31FB9" w:rsidRDefault="00D31FB9" w:rsidP="00D31FB9">
      <w:pPr>
        <w:pBdr>
          <w:top w:val="single" w:sz="4" w:space="0" w:color="000000"/>
          <w:left w:val="single" w:sz="4" w:space="3" w:color="000000"/>
          <w:bottom w:val="single" w:sz="4" w:space="2" w:color="000000"/>
          <w:right w:val="single" w:sz="4" w:space="7" w:color="000000"/>
        </w:pBdr>
        <w:shd w:val="solid" w:color="FF6500" w:fill="auto"/>
        <w:kinsoku w:val="0"/>
        <w:overflowPunct w:val="0"/>
        <w:spacing w:line="336" w:lineRule="exact"/>
        <w:ind w:left="72" w:right="317"/>
        <w:jc w:val="both"/>
        <w:textAlignment w:val="baseline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f) Elenco delle garanzie principali o sussidiarie prestate dall’ente a favore di enti e di altri soggetti</w:t>
      </w:r>
    </w:p>
    <w:p w:rsidR="00D31FB9" w:rsidRDefault="00D31FB9" w:rsidP="00D31FB9">
      <w:pPr>
        <w:kinsoku w:val="0"/>
        <w:overflowPunct w:val="0"/>
        <w:spacing w:before="220" w:line="20" w:lineRule="exact"/>
        <w:ind w:left="19" w:right="279"/>
        <w:jc w:val="both"/>
        <w:textAlignment w:val="baseline"/>
        <w:rPr>
          <w:sz w:val="24"/>
          <w:szCs w:val="24"/>
        </w:rPr>
      </w:pPr>
    </w:p>
    <w:p w:rsidR="00D31FB9" w:rsidRPr="00A5196C" w:rsidRDefault="00D31FB9" w:rsidP="00D31FB9">
      <w:pPr>
        <w:jc w:val="both"/>
        <w:rPr>
          <w:sz w:val="24"/>
          <w:szCs w:val="24"/>
        </w:rPr>
      </w:pPr>
      <w:r w:rsidRPr="00A5196C">
        <w:rPr>
          <w:rFonts w:ascii="Tahoma" w:hAnsi="Tahoma" w:cs="Tahoma"/>
          <w:bCs/>
          <w:spacing w:val="-4"/>
        </w:rPr>
        <w:t>Elenco negativo</w:t>
      </w:r>
      <w:r w:rsidRPr="00A5196C">
        <w:rPr>
          <w:sz w:val="24"/>
          <w:szCs w:val="24"/>
        </w:rPr>
        <w:t>.</w:t>
      </w:r>
    </w:p>
    <w:p w:rsidR="00D31FB9" w:rsidRDefault="00D31FB9" w:rsidP="00D31FB9">
      <w:pPr>
        <w:jc w:val="both"/>
        <w:rPr>
          <w:sz w:val="24"/>
          <w:szCs w:val="24"/>
        </w:rPr>
      </w:pPr>
    </w:p>
    <w:p w:rsidR="00D31FB9" w:rsidRDefault="00D31FB9" w:rsidP="00D31FB9">
      <w:pPr>
        <w:jc w:val="both"/>
        <w:rPr>
          <w:sz w:val="24"/>
          <w:szCs w:val="24"/>
        </w:rPr>
      </w:pPr>
    </w:p>
    <w:p w:rsidR="00D31FB9" w:rsidRDefault="00D31FB9" w:rsidP="00D31FB9">
      <w:pPr>
        <w:pBdr>
          <w:top w:val="single" w:sz="4" w:space="0" w:color="000000"/>
          <w:left w:val="single" w:sz="4" w:space="3" w:color="000000"/>
          <w:bottom w:val="single" w:sz="4" w:space="2" w:color="000000"/>
          <w:right w:val="single" w:sz="4" w:space="7" w:color="000000"/>
        </w:pBdr>
        <w:shd w:val="solid" w:color="FF6500" w:fill="auto"/>
        <w:kinsoku w:val="0"/>
        <w:overflowPunct w:val="0"/>
        <w:spacing w:line="336" w:lineRule="exact"/>
        <w:ind w:left="72" w:right="317"/>
        <w:jc w:val="both"/>
        <w:textAlignment w:val="baseline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g) oneri e impegni finanziati derivanti da contratti relativi a strumenti finanziari derivati o che includono una componente derivata</w:t>
      </w:r>
    </w:p>
    <w:p w:rsidR="00D31FB9" w:rsidRDefault="00D31FB9" w:rsidP="00D31FB9">
      <w:pPr>
        <w:kinsoku w:val="0"/>
        <w:overflowPunct w:val="0"/>
        <w:spacing w:before="220" w:line="20" w:lineRule="exact"/>
        <w:ind w:left="19" w:right="279"/>
        <w:jc w:val="both"/>
        <w:textAlignment w:val="baseline"/>
        <w:rPr>
          <w:sz w:val="24"/>
          <w:szCs w:val="24"/>
        </w:rPr>
      </w:pPr>
    </w:p>
    <w:p w:rsidR="00D31FB9" w:rsidRPr="00A5196C" w:rsidRDefault="00D31FB9" w:rsidP="00D31FB9">
      <w:pPr>
        <w:jc w:val="both"/>
        <w:rPr>
          <w:sz w:val="24"/>
          <w:szCs w:val="24"/>
        </w:rPr>
      </w:pPr>
      <w:r w:rsidRPr="00A5196C">
        <w:rPr>
          <w:rFonts w:ascii="Tahoma" w:hAnsi="Tahoma" w:cs="Tahoma"/>
          <w:bCs/>
          <w:spacing w:val="-4"/>
        </w:rPr>
        <w:t>Non previsti in bilancio.</w:t>
      </w:r>
    </w:p>
    <w:p w:rsidR="00D31FB9" w:rsidRDefault="00D31FB9" w:rsidP="00D31FB9">
      <w:pPr>
        <w:jc w:val="both"/>
        <w:rPr>
          <w:sz w:val="24"/>
          <w:szCs w:val="24"/>
        </w:rPr>
      </w:pPr>
    </w:p>
    <w:p w:rsidR="00D31FB9" w:rsidRDefault="00D31FB9" w:rsidP="00D31FB9">
      <w:pPr>
        <w:jc w:val="both"/>
        <w:rPr>
          <w:sz w:val="24"/>
          <w:szCs w:val="24"/>
        </w:rPr>
      </w:pPr>
    </w:p>
    <w:p w:rsidR="00D31FB9" w:rsidRDefault="00D31FB9" w:rsidP="00D31FB9">
      <w:pPr>
        <w:jc w:val="both"/>
        <w:rPr>
          <w:sz w:val="24"/>
          <w:szCs w:val="24"/>
        </w:rPr>
      </w:pPr>
    </w:p>
    <w:p w:rsidR="00D31FB9" w:rsidRDefault="00D31FB9" w:rsidP="00D31FB9">
      <w:pPr>
        <w:pBdr>
          <w:top w:val="single" w:sz="4" w:space="0" w:color="000000"/>
          <w:left w:val="single" w:sz="4" w:space="3" w:color="000000"/>
          <w:bottom w:val="single" w:sz="4" w:space="2" w:color="000000"/>
          <w:right w:val="single" w:sz="4" w:space="7" w:color="000000"/>
        </w:pBdr>
        <w:shd w:val="solid" w:color="FF6500" w:fill="auto"/>
        <w:kinsoku w:val="0"/>
        <w:overflowPunct w:val="0"/>
        <w:spacing w:line="336" w:lineRule="exact"/>
        <w:ind w:left="72" w:right="317"/>
        <w:jc w:val="both"/>
        <w:textAlignment w:val="baseline"/>
        <w:rPr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h) elenco dei propri enti ed organismi strumentali</w:t>
      </w:r>
    </w:p>
    <w:p w:rsidR="00D31FB9" w:rsidRDefault="00D31FB9" w:rsidP="00D31FB9">
      <w:pPr>
        <w:jc w:val="both"/>
        <w:rPr>
          <w:sz w:val="24"/>
          <w:szCs w:val="24"/>
        </w:rPr>
      </w:pPr>
    </w:p>
    <w:p w:rsidR="00D31FB9" w:rsidRPr="00A5196C" w:rsidRDefault="00D31FB9" w:rsidP="00D31FB9">
      <w:pPr>
        <w:jc w:val="both"/>
        <w:rPr>
          <w:rFonts w:ascii="Tahoma" w:hAnsi="Tahoma" w:cs="Tahoma"/>
          <w:bCs/>
          <w:spacing w:val="-4"/>
        </w:rPr>
      </w:pPr>
      <w:r w:rsidRPr="00A5196C">
        <w:rPr>
          <w:rFonts w:ascii="Tahoma" w:hAnsi="Tahoma" w:cs="Tahoma"/>
          <w:bCs/>
          <w:spacing w:val="-4"/>
        </w:rPr>
        <w:t>L’Ente non si avvale di Enti ed Organismi strumentali.</w:t>
      </w:r>
    </w:p>
    <w:p w:rsidR="00D31FB9" w:rsidRPr="00CE6C71" w:rsidRDefault="00D31FB9" w:rsidP="00D31FB9">
      <w:pPr>
        <w:jc w:val="both"/>
        <w:rPr>
          <w:rFonts w:ascii="Tahoma" w:hAnsi="Tahoma" w:cs="Tahoma"/>
          <w:bCs/>
          <w:spacing w:val="-4"/>
        </w:rPr>
      </w:pPr>
    </w:p>
    <w:p w:rsidR="00D31FB9" w:rsidRDefault="00D31FB9" w:rsidP="00D31FB9">
      <w:pPr>
        <w:jc w:val="both"/>
        <w:rPr>
          <w:sz w:val="24"/>
          <w:szCs w:val="24"/>
        </w:rPr>
      </w:pPr>
    </w:p>
    <w:p w:rsidR="00D31FB9" w:rsidRDefault="00D31FB9" w:rsidP="00D31FB9">
      <w:pPr>
        <w:jc w:val="both"/>
        <w:rPr>
          <w:sz w:val="24"/>
          <w:szCs w:val="24"/>
        </w:rPr>
      </w:pPr>
    </w:p>
    <w:p w:rsidR="00D31FB9" w:rsidRDefault="00D31FB9" w:rsidP="00D31FB9">
      <w:pPr>
        <w:pBdr>
          <w:top w:val="single" w:sz="4" w:space="0" w:color="000000"/>
          <w:left w:val="single" w:sz="4" w:space="3" w:color="000000"/>
          <w:bottom w:val="single" w:sz="4" w:space="2" w:color="000000"/>
          <w:right w:val="single" w:sz="4" w:space="7" w:color="000000"/>
        </w:pBdr>
        <w:shd w:val="solid" w:color="FF6500" w:fill="auto"/>
        <w:kinsoku w:val="0"/>
        <w:overflowPunct w:val="0"/>
        <w:spacing w:line="336" w:lineRule="exact"/>
        <w:ind w:left="72" w:right="317"/>
        <w:jc w:val="both"/>
        <w:textAlignment w:val="baseline"/>
        <w:rPr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i) elenco delle partecipazioni possedute con l’indicazione della relativa quota percentuale</w:t>
      </w:r>
    </w:p>
    <w:p w:rsidR="00D31FB9" w:rsidRDefault="00D31FB9" w:rsidP="00D31FB9">
      <w:pPr>
        <w:jc w:val="both"/>
        <w:rPr>
          <w:sz w:val="24"/>
          <w:szCs w:val="24"/>
        </w:rPr>
      </w:pPr>
    </w:p>
    <w:tbl>
      <w:tblPr>
        <w:tblW w:w="98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0"/>
        <w:gridCol w:w="3720"/>
        <w:gridCol w:w="1860"/>
        <w:gridCol w:w="1860"/>
      </w:tblGrid>
      <w:tr w:rsidR="00D31FB9" w:rsidRPr="00F13DF8" w:rsidTr="00243982">
        <w:trPr>
          <w:trHeight w:hRule="exact" w:val="900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B9" w:rsidRPr="00313C6E" w:rsidRDefault="00D31FB9" w:rsidP="00243982">
            <w:pPr>
              <w:jc w:val="both"/>
              <w:rPr>
                <w:rFonts w:ascii="Calibri" w:hAnsi="Calibri"/>
                <w:b/>
                <w:bCs/>
                <w:color w:val="000000"/>
              </w:rPr>
            </w:pPr>
            <w:r w:rsidRPr="00313C6E">
              <w:rPr>
                <w:rFonts w:ascii="Calibri" w:hAnsi="Calibri"/>
                <w:b/>
                <w:bCs/>
                <w:color w:val="000000"/>
              </w:rPr>
              <w:t>CF Società partecipata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B9" w:rsidRPr="00313C6E" w:rsidRDefault="00D31FB9" w:rsidP="00243982">
            <w:pPr>
              <w:jc w:val="both"/>
              <w:rPr>
                <w:rFonts w:ascii="Calibri" w:hAnsi="Calibri"/>
                <w:b/>
                <w:bCs/>
                <w:color w:val="000000"/>
              </w:rPr>
            </w:pPr>
            <w:r w:rsidRPr="00313C6E">
              <w:rPr>
                <w:rFonts w:ascii="Calibri" w:hAnsi="Calibri"/>
                <w:b/>
                <w:bCs/>
                <w:color w:val="000000"/>
              </w:rPr>
              <w:t>Ragione sociale/ denominazione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B9" w:rsidRPr="00313C6E" w:rsidRDefault="00D31FB9" w:rsidP="00243982">
            <w:pPr>
              <w:jc w:val="both"/>
              <w:rPr>
                <w:rFonts w:ascii="Calibri" w:hAnsi="Calibri"/>
                <w:b/>
                <w:bCs/>
                <w:color w:val="000000"/>
              </w:rPr>
            </w:pPr>
            <w:r w:rsidRPr="00313C6E">
              <w:rPr>
                <w:rFonts w:ascii="Calibri" w:hAnsi="Calibri"/>
                <w:b/>
                <w:bCs/>
                <w:color w:val="000000"/>
              </w:rPr>
              <w:t>Quota% partecipazione diretta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B9" w:rsidRPr="00313C6E" w:rsidRDefault="00D31FB9" w:rsidP="00243982">
            <w:pPr>
              <w:jc w:val="both"/>
              <w:rPr>
                <w:rFonts w:ascii="Calibri" w:hAnsi="Calibri"/>
                <w:b/>
                <w:bCs/>
                <w:color w:val="000000"/>
              </w:rPr>
            </w:pPr>
            <w:r w:rsidRPr="00313C6E">
              <w:rPr>
                <w:rFonts w:ascii="Calibri" w:hAnsi="Calibri"/>
                <w:b/>
                <w:bCs/>
                <w:color w:val="000000"/>
              </w:rPr>
              <w:t>Quota% partecipazione indiretta</w:t>
            </w:r>
          </w:p>
        </w:tc>
      </w:tr>
      <w:tr w:rsidR="00D31FB9" w:rsidRPr="00F13DF8" w:rsidTr="00243982">
        <w:trPr>
          <w:trHeight w:val="93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FB9" w:rsidRPr="00313C6E" w:rsidRDefault="00D31FB9" w:rsidP="00243982">
            <w:pPr>
              <w:jc w:val="both"/>
              <w:rPr>
                <w:rFonts w:ascii="Calibri" w:hAnsi="Calibri"/>
                <w:color w:val="000000"/>
              </w:rPr>
            </w:pPr>
            <w:r w:rsidRPr="00313C6E">
              <w:rPr>
                <w:rFonts w:ascii="Calibri" w:hAnsi="Calibri"/>
                <w:color w:val="000000"/>
              </w:rPr>
              <w:t>006655740072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B9" w:rsidRPr="00A5196C" w:rsidRDefault="00D31FB9" w:rsidP="00243982">
            <w:pPr>
              <w:jc w:val="both"/>
              <w:rPr>
                <w:rFonts w:ascii="Calibri" w:hAnsi="Calibri"/>
                <w:bCs/>
                <w:color w:val="000000"/>
              </w:rPr>
            </w:pPr>
            <w:r w:rsidRPr="00A5196C">
              <w:rPr>
                <w:rFonts w:ascii="Calibri" w:hAnsi="Calibri"/>
                <w:bCs/>
                <w:color w:val="000000"/>
              </w:rPr>
              <w:t xml:space="preserve">CELVA -  CONSORZIO DEGLI ENTI LOCALI DELLA VALLE D'AOSTA SOC.COOP.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FB9" w:rsidRPr="00313C6E" w:rsidRDefault="00D31FB9" w:rsidP="00243982">
            <w:pPr>
              <w:jc w:val="right"/>
              <w:rPr>
                <w:rFonts w:ascii="Calibri" w:hAnsi="Calibri"/>
                <w:color w:val="000000"/>
              </w:rPr>
            </w:pPr>
            <w:r w:rsidRPr="00313C6E">
              <w:rPr>
                <w:rFonts w:ascii="Calibri" w:hAnsi="Calibri"/>
                <w:color w:val="000000"/>
              </w:rPr>
              <w:t>1,19%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FB9" w:rsidRPr="00313C6E" w:rsidRDefault="00D31FB9" w:rsidP="00243982">
            <w:pPr>
              <w:jc w:val="both"/>
              <w:rPr>
                <w:rFonts w:ascii="Calibri" w:hAnsi="Calibri"/>
                <w:color w:val="000000"/>
              </w:rPr>
            </w:pPr>
            <w:r w:rsidRPr="00313C6E">
              <w:rPr>
                <w:rFonts w:ascii="Calibri" w:hAnsi="Calibri"/>
                <w:color w:val="000000"/>
              </w:rPr>
              <w:t>-</w:t>
            </w:r>
          </w:p>
        </w:tc>
      </w:tr>
    </w:tbl>
    <w:p w:rsidR="00D31FB9" w:rsidRDefault="00D31FB9" w:rsidP="00D31FB9">
      <w:pPr>
        <w:jc w:val="both"/>
        <w:rPr>
          <w:rFonts w:ascii="Tahoma" w:hAnsi="Tahoma" w:cs="Tahoma"/>
          <w:b/>
          <w:bCs/>
          <w:spacing w:val="-4"/>
        </w:rPr>
      </w:pPr>
    </w:p>
    <w:p w:rsidR="00D31FB9" w:rsidRDefault="00D31FB9" w:rsidP="00D31FB9">
      <w:pPr>
        <w:jc w:val="both"/>
        <w:rPr>
          <w:rFonts w:ascii="Tahoma" w:hAnsi="Tahoma" w:cs="Tahoma"/>
          <w:b/>
          <w:bCs/>
          <w:spacing w:val="-4"/>
        </w:rPr>
      </w:pPr>
    </w:p>
    <w:p w:rsidR="00C854A7" w:rsidRDefault="00C854A7" w:rsidP="00D31FB9">
      <w:pPr>
        <w:jc w:val="both"/>
        <w:rPr>
          <w:rFonts w:ascii="Tahoma" w:hAnsi="Tahoma" w:cs="Tahoma"/>
          <w:b/>
          <w:bCs/>
          <w:spacing w:val="-4"/>
        </w:rPr>
      </w:pPr>
    </w:p>
    <w:p w:rsidR="00C854A7" w:rsidRDefault="00C854A7" w:rsidP="00D31FB9">
      <w:pPr>
        <w:jc w:val="both"/>
        <w:rPr>
          <w:rFonts w:ascii="Tahoma" w:hAnsi="Tahoma" w:cs="Tahoma"/>
          <w:b/>
          <w:bCs/>
          <w:spacing w:val="-4"/>
        </w:rPr>
      </w:pPr>
    </w:p>
    <w:p w:rsidR="00C854A7" w:rsidRDefault="00C854A7" w:rsidP="00D31FB9">
      <w:pPr>
        <w:jc w:val="both"/>
        <w:rPr>
          <w:rFonts w:ascii="Tahoma" w:hAnsi="Tahoma" w:cs="Tahoma"/>
          <w:b/>
          <w:bCs/>
          <w:spacing w:val="-4"/>
        </w:rPr>
      </w:pPr>
    </w:p>
    <w:p w:rsidR="00D31FB9" w:rsidRDefault="00D31FB9" w:rsidP="00D31FB9">
      <w:pPr>
        <w:pBdr>
          <w:top w:val="single" w:sz="4" w:space="0" w:color="000000"/>
          <w:left w:val="single" w:sz="4" w:space="3" w:color="000000"/>
          <w:bottom w:val="single" w:sz="4" w:space="2" w:color="000000"/>
          <w:right w:val="single" w:sz="4" w:space="7" w:color="000000"/>
        </w:pBdr>
        <w:shd w:val="solid" w:color="FF6500" w:fill="auto"/>
        <w:kinsoku w:val="0"/>
        <w:overflowPunct w:val="0"/>
        <w:spacing w:line="336" w:lineRule="exact"/>
        <w:ind w:left="72" w:right="317"/>
        <w:jc w:val="both"/>
        <w:textAlignment w:val="baseline"/>
        <w:rPr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j) altre informazioni riguardanti le previsioni, richieste dalla legge o necessarie per l’interpretazione del bilancio</w:t>
      </w:r>
    </w:p>
    <w:p w:rsidR="00D31FB9" w:rsidRDefault="00D31FB9" w:rsidP="00D31FB9">
      <w:pPr>
        <w:jc w:val="both"/>
        <w:rPr>
          <w:sz w:val="24"/>
          <w:szCs w:val="24"/>
        </w:rPr>
      </w:pPr>
    </w:p>
    <w:p w:rsidR="00D31FB9" w:rsidRPr="00B2583C" w:rsidRDefault="00D31FB9" w:rsidP="00D31FB9">
      <w:pPr>
        <w:kinsoku w:val="0"/>
        <w:overflowPunct w:val="0"/>
        <w:spacing w:before="642" w:line="316" w:lineRule="exact"/>
        <w:ind w:left="72"/>
        <w:jc w:val="center"/>
        <w:textAlignment w:val="baseline"/>
        <w:rPr>
          <w:rFonts w:ascii="Tahoma" w:hAnsi="Tahoma" w:cs="Tahoma"/>
          <w:b/>
          <w:bCs/>
          <w:sz w:val="24"/>
          <w:szCs w:val="24"/>
          <w:u w:val="single"/>
        </w:rPr>
      </w:pPr>
      <w:r w:rsidRPr="00B2583C">
        <w:rPr>
          <w:rFonts w:ascii="Tahoma" w:hAnsi="Tahoma" w:cs="Tahoma"/>
          <w:b/>
          <w:bCs/>
          <w:sz w:val="24"/>
          <w:szCs w:val="24"/>
          <w:u w:val="single"/>
        </w:rPr>
        <w:t>Pareggio di bilancio</w:t>
      </w:r>
    </w:p>
    <w:p w:rsidR="00925AB2" w:rsidRPr="00925AB2" w:rsidRDefault="00925AB2" w:rsidP="00925AB2">
      <w:pPr>
        <w:pStyle w:val="Corpotesto"/>
        <w:ind w:right="566"/>
        <w:rPr>
          <w:rFonts w:ascii="Tahoma" w:hAnsi="Tahoma" w:cs="Tahoma"/>
          <w:sz w:val="22"/>
          <w:lang w:val="it-IT"/>
        </w:rPr>
      </w:pPr>
      <w:r w:rsidRPr="00925AB2">
        <w:rPr>
          <w:rFonts w:ascii="Tahoma" w:hAnsi="Tahoma" w:cs="Tahoma"/>
          <w:sz w:val="22"/>
          <w:lang w:val="it-IT"/>
        </w:rPr>
        <w:t xml:space="preserve">Con circolare n. 3 del 14/02/2019 la Ragioneria Generale dello Stato ha comunicato che gli spazi acquisiti nell’ambito di interesse regionale orizzontale del patto nazionale orizzontale del 2018 ed anni precedenti non sono </w:t>
      </w:r>
      <w:proofErr w:type="spellStart"/>
      <w:r w:rsidRPr="00925AB2">
        <w:rPr>
          <w:rFonts w:ascii="Tahoma" w:hAnsi="Tahoma" w:cs="Tahoma"/>
          <w:sz w:val="22"/>
          <w:lang w:val="it-IT"/>
        </w:rPr>
        <w:t>piu</w:t>
      </w:r>
      <w:proofErr w:type="spellEnd"/>
      <w:r w:rsidRPr="00925AB2">
        <w:rPr>
          <w:rFonts w:ascii="Tahoma" w:hAnsi="Tahoma" w:cs="Tahoma"/>
          <w:sz w:val="22"/>
          <w:lang w:val="it-IT"/>
        </w:rPr>
        <w:t xml:space="preserve"> da restituirsi nel 2019 e 2020.</w:t>
      </w:r>
    </w:p>
    <w:p w:rsidR="00D31FB9" w:rsidRDefault="00D31FB9"/>
    <w:p w:rsidR="00344953" w:rsidRPr="00055B8F" w:rsidRDefault="00344953" w:rsidP="00055B8F">
      <w:pPr>
        <w:kinsoku w:val="0"/>
        <w:overflowPunct w:val="0"/>
        <w:spacing w:before="642" w:line="316" w:lineRule="exact"/>
        <w:ind w:left="72"/>
        <w:jc w:val="center"/>
        <w:textAlignment w:val="baseline"/>
        <w:rPr>
          <w:rFonts w:ascii="Tahoma" w:hAnsi="Tahoma" w:cs="Tahoma"/>
          <w:b/>
          <w:bCs/>
          <w:sz w:val="24"/>
          <w:szCs w:val="24"/>
          <w:u w:val="single"/>
        </w:rPr>
      </w:pPr>
      <w:r w:rsidRPr="00055B8F">
        <w:rPr>
          <w:rFonts w:ascii="Tahoma" w:hAnsi="Tahoma" w:cs="Tahoma"/>
          <w:b/>
          <w:bCs/>
          <w:sz w:val="24"/>
          <w:szCs w:val="24"/>
          <w:u w:val="single"/>
        </w:rPr>
        <w:t>La situazione di cassa</w:t>
      </w:r>
    </w:p>
    <w:p w:rsidR="00344953" w:rsidRPr="00A5196C" w:rsidRDefault="00344953" w:rsidP="00344953">
      <w:pPr>
        <w:kinsoku w:val="0"/>
        <w:overflowPunct w:val="0"/>
        <w:spacing w:line="305" w:lineRule="exact"/>
        <w:ind w:left="72" w:right="648"/>
        <w:jc w:val="both"/>
        <w:textAlignment w:val="baseline"/>
        <w:rPr>
          <w:rFonts w:ascii="Tahoma" w:hAnsi="Tahoma" w:cs="Tahoma"/>
          <w:bCs/>
          <w:spacing w:val="-8"/>
          <w:sz w:val="21"/>
          <w:szCs w:val="21"/>
        </w:rPr>
      </w:pPr>
    </w:p>
    <w:p w:rsidR="00925AB2" w:rsidRPr="00A5196C" w:rsidRDefault="00344953" w:rsidP="00925AB2">
      <w:pPr>
        <w:kinsoku w:val="0"/>
        <w:overflowPunct w:val="0"/>
        <w:spacing w:line="305" w:lineRule="exact"/>
        <w:ind w:left="72" w:right="648"/>
        <w:jc w:val="both"/>
        <w:textAlignment w:val="baseline"/>
        <w:rPr>
          <w:rFonts w:ascii="Tahoma" w:hAnsi="Tahoma" w:cs="Tahoma"/>
          <w:bCs/>
          <w:spacing w:val="-4"/>
        </w:rPr>
      </w:pPr>
      <w:r w:rsidRPr="00A5196C">
        <w:rPr>
          <w:rFonts w:ascii="Tahoma" w:hAnsi="Tahoma" w:cs="Tahoma"/>
          <w:bCs/>
          <w:spacing w:val="-4"/>
        </w:rPr>
        <w:t xml:space="preserve">Considerato che il nuovo bilancio armonizzato ha ricostituito le previsioni di cassa per l’esercizio di competenza, l’Ente presenta un fondo di cassa iniziale presunto pari ad €. </w:t>
      </w:r>
      <w:r w:rsidR="00925AB2">
        <w:rPr>
          <w:rFonts w:ascii="Tahoma" w:hAnsi="Tahoma" w:cs="Tahoma"/>
          <w:bCs/>
          <w:spacing w:val="-4"/>
        </w:rPr>
        <w:t>1.504.000,22</w:t>
      </w:r>
      <w:r w:rsidRPr="00A5196C">
        <w:rPr>
          <w:rFonts w:ascii="Tahoma" w:hAnsi="Tahoma" w:cs="Tahoma"/>
          <w:bCs/>
          <w:spacing w:val="-4"/>
        </w:rPr>
        <w:t xml:space="preserve"> e, in considerazione della stima degli incassi e dei pagamenti in corso d’anno, prevede un fondo di cassa finale pari a €. </w:t>
      </w:r>
      <w:r w:rsidR="00925AB2">
        <w:rPr>
          <w:rFonts w:ascii="Tahoma" w:hAnsi="Tahoma" w:cs="Tahoma"/>
          <w:bCs/>
          <w:spacing w:val="-4"/>
        </w:rPr>
        <w:t>723.919,35</w:t>
      </w:r>
    </w:p>
    <w:p w:rsidR="00344953" w:rsidRPr="00A5196C" w:rsidRDefault="00344953" w:rsidP="00344953">
      <w:pPr>
        <w:jc w:val="both"/>
        <w:rPr>
          <w:sz w:val="24"/>
          <w:szCs w:val="24"/>
        </w:rPr>
      </w:pPr>
    </w:p>
    <w:p w:rsidR="00344953" w:rsidRPr="00A5196C" w:rsidRDefault="00344953" w:rsidP="00344953">
      <w:pPr>
        <w:kinsoku w:val="0"/>
        <w:overflowPunct w:val="0"/>
        <w:spacing w:before="14" w:line="306" w:lineRule="exact"/>
        <w:ind w:left="72" w:right="288"/>
        <w:jc w:val="both"/>
        <w:textAlignment w:val="baseline"/>
        <w:rPr>
          <w:rFonts w:ascii="Tahoma" w:hAnsi="Tahoma" w:cs="Tahoma"/>
          <w:bCs/>
          <w:spacing w:val="-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456" behindDoc="0" locked="0" layoutInCell="0" allowOverlap="1" wp14:anchorId="40BF5165" wp14:editId="06A26B7B">
                <wp:simplePos x="0" y="0"/>
                <wp:positionH relativeFrom="page">
                  <wp:posOffset>6657975</wp:posOffset>
                </wp:positionH>
                <wp:positionV relativeFrom="page">
                  <wp:posOffset>9916795</wp:posOffset>
                </wp:positionV>
                <wp:extent cx="386080" cy="170180"/>
                <wp:effectExtent l="0" t="1270" r="4445" b="0"/>
                <wp:wrapSquare wrapText="bothSides"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080" cy="1701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4953" w:rsidRDefault="00344953" w:rsidP="00344953">
                            <w:pPr>
                              <w:kinsoku w:val="0"/>
                              <w:overflowPunct w:val="0"/>
                              <w:spacing w:before="26" w:line="240" w:lineRule="exact"/>
                              <w:textAlignment w:val="baseline"/>
                              <w:rPr>
                                <w:rFonts w:ascii="Calibri" w:hAnsi="Calibri" w:cs="Calibri"/>
                                <w:spacing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BF5165" id="Text Box 15" o:spid="_x0000_s1033" type="#_x0000_t202" style="position:absolute;left:0;text-align:left;margin-left:524.25pt;margin-top:780.85pt;width:30.4pt;height:13.4pt;z-index: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" o:allowincell="f" stroked="f">
                <v:fill opacity="0"/>
                <v:textbox inset="0,0,0,0">
                  <w:txbxContent>
                    <w:p w:rsidR="00344953" w:rsidRDefault="00344953" w:rsidP="00344953">
                      <w:pPr>
                        <w:kinsoku w:val="0"/>
                        <w:overflowPunct w:val="0"/>
                        <w:spacing w:before="26" w:line="240" w:lineRule="exact"/>
                        <w:textAlignment w:val="baseline"/>
                        <w:rPr>
                          <w:rFonts w:ascii="Calibri" w:hAnsi="Calibri" w:cs="Calibri"/>
                          <w:spacing w:val="4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A5196C">
        <w:rPr>
          <w:rFonts w:ascii="Tahoma" w:hAnsi="Tahoma" w:cs="Tahoma"/>
          <w:bCs/>
          <w:spacing w:val="-4"/>
        </w:rPr>
        <w:t>Tale previsione potrà essere suscettibile di variazioni, anche notevoli, in corso d’anno originate dalle dinamiche finanziarie connesse alla gestione dei flussi di cassa delle poste più rilevanti.</w:t>
      </w:r>
    </w:p>
    <w:p w:rsidR="00344953" w:rsidRDefault="00344953" w:rsidP="00344953">
      <w:pPr>
        <w:kinsoku w:val="0"/>
        <w:overflowPunct w:val="0"/>
        <w:spacing w:before="14" w:line="306" w:lineRule="exact"/>
        <w:ind w:left="72" w:right="288"/>
        <w:jc w:val="both"/>
        <w:textAlignment w:val="baseline"/>
        <w:rPr>
          <w:rFonts w:ascii="Tahoma" w:hAnsi="Tahoma" w:cs="Tahoma"/>
          <w:b/>
          <w:bCs/>
          <w:spacing w:val="-4"/>
        </w:rPr>
      </w:pPr>
    </w:p>
    <w:p w:rsidR="00344953" w:rsidRDefault="00344953" w:rsidP="00344953">
      <w:pPr>
        <w:kinsoku w:val="0"/>
        <w:overflowPunct w:val="0"/>
        <w:spacing w:before="14" w:line="306" w:lineRule="exact"/>
        <w:ind w:left="72" w:right="288"/>
        <w:jc w:val="both"/>
        <w:textAlignment w:val="baseline"/>
        <w:rPr>
          <w:rFonts w:ascii="Tahoma" w:hAnsi="Tahoma" w:cs="Tahoma"/>
          <w:b/>
          <w:bCs/>
          <w:spacing w:val="-4"/>
        </w:rPr>
      </w:pPr>
    </w:p>
    <w:p w:rsidR="00344953" w:rsidRDefault="00344953" w:rsidP="00344953">
      <w:pPr>
        <w:kinsoku w:val="0"/>
        <w:overflowPunct w:val="0"/>
        <w:spacing w:before="14" w:line="306" w:lineRule="exact"/>
        <w:ind w:right="288"/>
        <w:jc w:val="both"/>
        <w:textAlignment w:val="baseline"/>
        <w:rPr>
          <w:rFonts w:ascii="Tahoma" w:hAnsi="Tahoma" w:cs="Tahoma"/>
          <w:b/>
          <w:bCs/>
          <w:spacing w:val="-4"/>
        </w:rPr>
      </w:pPr>
    </w:p>
    <w:p w:rsidR="00344953" w:rsidRDefault="00344953" w:rsidP="00344953">
      <w:pPr>
        <w:kinsoku w:val="0"/>
        <w:overflowPunct w:val="0"/>
        <w:spacing w:before="14" w:line="306" w:lineRule="exact"/>
        <w:ind w:left="72" w:right="288"/>
        <w:jc w:val="center"/>
        <w:textAlignment w:val="baseline"/>
        <w:rPr>
          <w:rFonts w:ascii="Tahoma" w:hAnsi="Tahoma" w:cs="Tahoma"/>
          <w:b/>
          <w:bCs/>
          <w:spacing w:val="-4"/>
        </w:rPr>
      </w:pPr>
      <w:r>
        <w:rPr>
          <w:rFonts w:ascii="Tahoma" w:hAnsi="Tahoma" w:cs="Tahoma"/>
          <w:b/>
          <w:bCs/>
          <w:spacing w:val="-4"/>
        </w:rPr>
        <w:t>***</w:t>
      </w:r>
    </w:p>
    <w:p w:rsidR="003B0EE2" w:rsidRDefault="003B0EE2" w:rsidP="00344953"/>
    <w:sectPr w:rsidR="003B0EE2" w:rsidSect="00011F2B">
      <w:pgSz w:w="11906" w:h="16838" w:code="9"/>
      <w:pgMar w:top="1417" w:right="1134" w:bottom="1134" w:left="1134" w:header="709" w:footer="709" w:gutter="0"/>
      <w:paperSrc w:first="6" w:other="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7F7C5"/>
    <w:multiLevelType w:val="singleLevel"/>
    <w:tmpl w:val="73EE6A7B"/>
    <w:lvl w:ilvl="0">
      <w:start w:val="1"/>
      <w:numFmt w:val="decimal"/>
      <w:lvlText w:val="%1)"/>
      <w:lvlJc w:val="left"/>
      <w:pPr>
        <w:tabs>
          <w:tab w:val="num" w:pos="288"/>
        </w:tabs>
        <w:ind w:left="72"/>
      </w:pPr>
      <w:rPr>
        <w:rFonts w:ascii="Helvetica" w:hAnsi="Helvetica" w:cs="Helvetica"/>
        <w:snapToGrid/>
        <w:sz w:val="16"/>
        <w:szCs w:val="16"/>
      </w:rPr>
    </w:lvl>
  </w:abstractNum>
  <w:abstractNum w:abstractNumId="1" w15:restartNumberingAfterBreak="0">
    <w:nsid w:val="15B85D97"/>
    <w:multiLevelType w:val="hybridMultilevel"/>
    <w:tmpl w:val="5C06D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FB9"/>
    <w:rsid w:val="00011F2B"/>
    <w:rsid w:val="00042C82"/>
    <w:rsid w:val="00055B8F"/>
    <w:rsid w:val="001056AF"/>
    <w:rsid w:val="00107314"/>
    <w:rsid w:val="001246E1"/>
    <w:rsid w:val="00151667"/>
    <w:rsid w:val="001B6A25"/>
    <w:rsid w:val="001D43D6"/>
    <w:rsid w:val="001F2F9E"/>
    <w:rsid w:val="0022372A"/>
    <w:rsid w:val="002751DA"/>
    <w:rsid w:val="002B7FAE"/>
    <w:rsid w:val="003102D6"/>
    <w:rsid w:val="00344953"/>
    <w:rsid w:val="003B0EE2"/>
    <w:rsid w:val="003B2387"/>
    <w:rsid w:val="003D7BFE"/>
    <w:rsid w:val="003F0D47"/>
    <w:rsid w:val="003F2774"/>
    <w:rsid w:val="004A1BBE"/>
    <w:rsid w:val="004B7B6C"/>
    <w:rsid w:val="004C6B0A"/>
    <w:rsid w:val="004D07A8"/>
    <w:rsid w:val="00633848"/>
    <w:rsid w:val="0064607D"/>
    <w:rsid w:val="00663E21"/>
    <w:rsid w:val="00682BD8"/>
    <w:rsid w:val="006E463B"/>
    <w:rsid w:val="00792B5D"/>
    <w:rsid w:val="008348D1"/>
    <w:rsid w:val="00854B09"/>
    <w:rsid w:val="008A1F20"/>
    <w:rsid w:val="008C56D5"/>
    <w:rsid w:val="009219A8"/>
    <w:rsid w:val="009229B0"/>
    <w:rsid w:val="00925AB2"/>
    <w:rsid w:val="0099629B"/>
    <w:rsid w:val="009A12BD"/>
    <w:rsid w:val="009E538E"/>
    <w:rsid w:val="00A6182A"/>
    <w:rsid w:val="00A638CC"/>
    <w:rsid w:val="00A64A7E"/>
    <w:rsid w:val="00A75AEA"/>
    <w:rsid w:val="00AB1B29"/>
    <w:rsid w:val="00B0480B"/>
    <w:rsid w:val="00B53DCD"/>
    <w:rsid w:val="00C26AD6"/>
    <w:rsid w:val="00C3051B"/>
    <w:rsid w:val="00C4058A"/>
    <w:rsid w:val="00C854A7"/>
    <w:rsid w:val="00CC4659"/>
    <w:rsid w:val="00D31FB9"/>
    <w:rsid w:val="00DD0D0B"/>
    <w:rsid w:val="00E075F2"/>
    <w:rsid w:val="00E4359D"/>
    <w:rsid w:val="00EC1F82"/>
    <w:rsid w:val="00EE7E6C"/>
    <w:rsid w:val="00EF17A5"/>
    <w:rsid w:val="00F4579C"/>
    <w:rsid w:val="00F575BF"/>
    <w:rsid w:val="00FC0631"/>
    <w:rsid w:val="00FE6823"/>
    <w:rsid w:val="00FF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5D57AB0A-8DB4-4CA1-923C-4219C0AE6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182A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925AB2"/>
    <w:pPr>
      <w:widowControl w:val="0"/>
      <w:spacing w:after="0" w:line="240" w:lineRule="auto"/>
      <w:ind w:left="232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925AB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8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C30B4-1607-41CF-80BB-3AB596BFA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1714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Iachelini</dc:creator>
  <cp:keywords/>
  <dc:description/>
  <cp:lastModifiedBy>Massimo Iachelini</cp:lastModifiedBy>
  <cp:revision>2</cp:revision>
  <cp:lastPrinted>2019-02-18T15:13:00Z</cp:lastPrinted>
  <dcterms:created xsi:type="dcterms:W3CDTF">2019-02-18T15:16:00Z</dcterms:created>
  <dcterms:modified xsi:type="dcterms:W3CDTF">2019-02-18T15:16:00Z</dcterms:modified>
</cp:coreProperties>
</file>